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DE9C6" w14:textId="3EFB008D" w:rsidR="007C79F7" w:rsidRPr="003C706A" w:rsidRDefault="000522A3" w:rsidP="008C44AA">
      <w:pPr>
        <w:tabs>
          <w:tab w:val="left" w:pos="180"/>
        </w:tabs>
        <w:jc w:val="both"/>
        <w:rPr>
          <w:sz w:val="22"/>
          <w:szCs w:val="22"/>
        </w:rPr>
      </w:pPr>
      <w:bookmarkStart w:id="0" w:name="_Hlk92716241"/>
      <w:bookmarkStart w:id="1" w:name="_Hlk101184910"/>
      <w:bookmarkEnd w:id="0"/>
      <w:r w:rsidRPr="003C706A">
        <w:rPr>
          <w:sz w:val="22"/>
          <w:szCs w:val="22"/>
        </w:rPr>
        <w:t>Executive Director Report</w:t>
      </w:r>
    </w:p>
    <w:p w14:paraId="40BE52EE" w14:textId="7C324BAC" w:rsidR="000522A3" w:rsidRPr="003C706A" w:rsidRDefault="000522A3" w:rsidP="008C44AA">
      <w:pPr>
        <w:tabs>
          <w:tab w:val="left" w:pos="180"/>
        </w:tabs>
        <w:jc w:val="both"/>
        <w:rPr>
          <w:sz w:val="22"/>
          <w:szCs w:val="22"/>
        </w:rPr>
      </w:pPr>
    </w:p>
    <w:p w14:paraId="608053FE" w14:textId="33B5A124" w:rsidR="000522A3" w:rsidRPr="003C706A" w:rsidRDefault="000522A3" w:rsidP="008C44AA">
      <w:pPr>
        <w:tabs>
          <w:tab w:val="left" w:pos="180"/>
        </w:tabs>
        <w:jc w:val="both"/>
        <w:rPr>
          <w:rFonts w:eastAsiaTheme="minorHAnsi"/>
          <w:bCs/>
          <w:sz w:val="22"/>
          <w:szCs w:val="18"/>
        </w:rPr>
      </w:pPr>
      <w:r w:rsidRPr="003C706A">
        <w:rPr>
          <w:rFonts w:eastAsiaTheme="minorHAnsi"/>
          <w:bCs/>
          <w:sz w:val="22"/>
          <w:szCs w:val="18"/>
        </w:rPr>
        <w:tab/>
      </w:r>
      <w:r w:rsidRPr="003C706A">
        <w:rPr>
          <w:rFonts w:eastAsiaTheme="minorHAnsi"/>
          <w:bCs/>
          <w:sz w:val="22"/>
          <w:szCs w:val="18"/>
        </w:rPr>
        <w:tab/>
        <w:t>Pic</w:t>
      </w:r>
    </w:p>
    <w:p w14:paraId="362327D1" w14:textId="030BDE59" w:rsidR="006E5097" w:rsidRPr="003C706A" w:rsidRDefault="006E5097" w:rsidP="008C44AA">
      <w:pPr>
        <w:tabs>
          <w:tab w:val="left" w:pos="180"/>
        </w:tabs>
        <w:jc w:val="both"/>
        <w:rPr>
          <w:sz w:val="22"/>
          <w:szCs w:val="22"/>
        </w:rPr>
      </w:pPr>
    </w:p>
    <w:p w14:paraId="38CC6F30" w14:textId="69C433F0" w:rsidR="0072517C" w:rsidRPr="003C706A" w:rsidRDefault="0072517C" w:rsidP="008C44AA">
      <w:pPr>
        <w:tabs>
          <w:tab w:val="left" w:pos="180"/>
        </w:tabs>
        <w:jc w:val="both"/>
        <w:rPr>
          <w:sz w:val="22"/>
          <w:szCs w:val="22"/>
        </w:rPr>
      </w:pPr>
    </w:p>
    <w:p w14:paraId="5D1E0FD8" w14:textId="35EEC634" w:rsidR="0072517C" w:rsidRPr="003C706A" w:rsidRDefault="0072517C" w:rsidP="008C44AA">
      <w:pPr>
        <w:tabs>
          <w:tab w:val="left" w:pos="180"/>
        </w:tabs>
        <w:jc w:val="both"/>
        <w:rPr>
          <w:sz w:val="22"/>
          <w:szCs w:val="22"/>
        </w:rPr>
      </w:pPr>
    </w:p>
    <w:p w14:paraId="1649A1C6" w14:textId="784C3D6F" w:rsidR="00E170FC" w:rsidRPr="003C706A" w:rsidRDefault="00E170FC" w:rsidP="008C44AA">
      <w:pPr>
        <w:tabs>
          <w:tab w:val="left" w:pos="180"/>
        </w:tabs>
        <w:jc w:val="both"/>
        <w:rPr>
          <w:sz w:val="22"/>
          <w:szCs w:val="22"/>
        </w:rPr>
      </w:pPr>
    </w:p>
    <w:p w14:paraId="22D10465" w14:textId="77F29CD5" w:rsidR="007D06D5" w:rsidRPr="003C706A" w:rsidRDefault="007D06D5" w:rsidP="008C44AA">
      <w:pPr>
        <w:ind w:firstLine="720"/>
        <w:jc w:val="both"/>
        <w:rPr>
          <w:sz w:val="22"/>
          <w:szCs w:val="22"/>
        </w:rPr>
      </w:pPr>
    </w:p>
    <w:p w14:paraId="6A5EE8A9" w14:textId="453E671A" w:rsidR="0082078D" w:rsidRPr="003C706A" w:rsidRDefault="0082078D" w:rsidP="008C44AA">
      <w:pPr>
        <w:ind w:left="101" w:right="101"/>
        <w:jc w:val="both"/>
        <w:rPr>
          <w:rFonts w:eastAsiaTheme="minorHAnsi"/>
          <w:bCs/>
          <w:sz w:val="22"/>
          <w:szCs w:val="18"/>
        </w:rPr>
      </w:pPr>
    </w:p>
    <w:p w14:paraId="42DEF58E" w14:textId="489ADB42" w:rsidR="003C706A" w:rsidRDefault="00791CCB" w:rsidP="003C706A">
      <w:pPr>
        <w:spacing w:after="160" w:line="259" w:lineRule="auto"/>
        <w:rPr>
          <w:color w:val="000000"/>
        </w:rPr>
      </w:pPr>
      <w:r w:rsidRPr="002246C1">
        <w:rPr>
          <w:color w:val="000000"/>
        </w:rPr>
        <w:t>Happy April everyone, Spring is upon us, although we have seen several days of late winter like weather and temperatures. Hopefully the Spring weather will be with us to stay soon.</w:t>
      </w:r>
    </w:p>
    <w:p w14:paraId="77DA58E0" w14:textId="574CE171" w:rsidR="00295B93" w:rsidRPr="003C706A" w:rsidRDefault="00295B93" w:rsidP="003C706A">
      <w:pPr>
        <w:spacing w:after="160" w:line="259" w:lineRule="auto"/>
        <w:rPr>
          <w:rFonts w:eastAsiaTheme="minorHAnsi"/>
          <w:sz w:val="22"/>
          <w:szCs w:val="22"/>
        </w:rPr>
      </w:pPr>
      <w:r>
        <w:rPr>
          <w:noProof/>
        </w:rPr>
        <w:drawing>
          <wp:inline distT="0" distB="0" distL="0" distR="0" wp14:anchorId="3B7192C7" wp14:editId="59404AA6">
            <wp:extent cx="3200400" cy="3842676"/>
            <wp:effectExtent l="0" t="0" r="0" b="0"/>
            <wp:docPr id="3" name="Picture 3" descr="Spring Has Sprung Spring Summer Nature Puzzle for Sale by Moon T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ing Has Sprung Spring Summer Nature Puzzle for Sale by Moon Te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3842676"/>
                    </a:xfrm>
                    <a:prstGeom prst="rect">
                      <a:avLst/>
                    </a:prstGeom>
                    <a:noFill/>
                    <a:ln>
                      <a:noFill/>
                    </a:ln>
                  </pic:spPr>
                </pic:pic>
              </a:graphicData>
            </a:graphic>
          </wp:inline>
        </w:drawing>
      </w:r>
    </w:p>
    <w:p w14:paraId="73AED68A" w14:textId="77777777" w:rsidR="003C706A" w:rsidRPr="003C706A" w:rsidRDefault="003C706A" w:rsidP="003C706A">
      <w:pPr>
        <w:spacing w:after="160" w:line="259" w:lineRule="auto"/>
        <w:rPr>
          <w:rFonts w:eastAsiaTheme="minorHAnsi"/>
          <w:b/>
          <w:bCs/>
          <w:sz w:val="32"/>
          <w:szCs w:val="32"/>
        </w:rPr>
      </w:pPr>
      <w:r w:rsidRPr="003C706A">
        <w:rPr>
          <w:rFonts w:eastAsiaTheme="minorHAnsi"/>
          <w:b/>
          <w:bCs/>
          <w:sz w:val="32"/>
          <w:szCs w:val="32"/>
        </w:rPr>
        <w:t>Engineering Workshop</w:t>
      </w:r>
    </w:p>
    <w:p w14:paraId="1569733B" w14:textId="7860F3DC" w:rsidR="003C706A" w:rsidRPr="003C706A" w:rsidRDefault="003C706A" w:rsidP="003C706A">
      <w:pPr>
        <w:spacing w:after="160" w:line="259" w:lineRule="auto"/>
        <w:rPr>
          <w:rFonts w:eastAsiaTheme="minorHAnsi"/>
        </w:rPr>
      </w:pPr>
      <w:r w:rsidRPr="003C706A">
        <w:rPr>
          <w:rFonts w:eastAsiaTheme="minorHAnsi"/>
        </w:rPr>
        <w:t>The Engineering Workshop was held in Syracuse on March 8</w:t>
      </w:r>
      <w:r w:rsidRPr="003C706A">
        <w:rPr>
          <w:rFonts w:eastAsiaTheme="minorHAnsi"/>
          <w:vertAlign w:val="superscript"/>
        </w:rPr>
        <w:t>th</w:t>
      </w:r>
      <w:r w:rsidRPr="003C706A">
        <w:rPr>
          <w:rFonts w:eastAsiaTheme="minorHAnsi"/>
        </w:rPr>
        <w:t xml:space="preserve"> and 9</w:t>
      </w:r>
      <w:r w:rsidRPr="003C706A">
        <w:rPr>
          <w:rFonts w:eastAsiaTheme="minorHAnsi"/>
          <w:vertAlign w:val="superscript"/>
        </w:rPr>
        <w:t>th</w:t>
      </w:r>
      <w:r w:rsidRPr="003C706A">
        <w:rPr>
          <w:rFonts w:eastAsiaTheme="minorHAnsi"/>
        </w:rPr>
        <w:t xml:space="preserve"> with 92 participants that signed up to attend.  The day and one-half workshop went smoothly and touched on many different subjects including GIS Mapping, 3</w:t>
      </w:r>
      <w:r w:rsidRPr="003C706A">
        <w:rPr>
          <w:rFonts w:eastAsiaTheme="minorHAnsi"/>
          <w:vertAlign w:val="superscript"/>
        </w:rPr>
        <w:t>rd</w:t>
      </w:r>
      <w:r w:rsidRPr="003C706A">
        <w:rPr>
          <w:rFonts w:eastAsiaTheme="minorHAnsi"/>
        </w:rPr>
        <w:t xml:space="preserve"> party CLEC Attachments, underground conductor testing, street lighting and pole options and safety discussions that were led by Northline Utilities &amp; Altec Industries.</w:t>
      </w:r>
    </w:p>
    <w:p w14:paraId="09766518" w14:textId="3A7844BF" w:rsidR="003C706A" w:rsidRPr="003C706A" w:rsidRDefault="003C706A" w:rsidP="003C706A">
      <w:pPr>
        <w:spacing w:after="160" w:line="259" w:lineRule="auto"/>
        <w:rPr>
          <w:rFonts w:eastAsiaTheme="minorHAnsi"/>
        </w:rPr>
      </w:pPr>
      <w:r w:rsidRPr="003C706A">
        <w:rPr>
          <w:rFonts w:eastAsiaTheme="minorHAnsi"/>
        </w:rPr>
        <w:t>The second day featured presentations on Substation batteries/charger maintenance, Scada/outage management systems and ladder safety/sling inspection training.</w:t>
      </w:r>
    </w:p>
    <w:p w14:paraId="1E110836" w14:textId="74AF9CB0" w:rsidR="003C706A" w:rsidRDefault="003C706A" w:rsidP="003C706A">
      <w:pPr>
        <w:spacing w:after="160" w:line="259" w:lineRule="auto"/>
        <w:rPr>
          <w:rFonts w:eastAsiaTheme="minorHAnsi"/>
        </w:rPr>
      </w:pPr>
      <w:r w:rsidRPr="003C706A">
        <w:rPr>
          <w:rFonts w:eastAsiaTheme="minorHAnsi"/>
        </w:rPr>
        <w:t>Door prizes were raffled off at the workshop’s conclusion and the winners were:</w:t>
      </w:r>
    </w:p>
    <w:p w14:paraId="6571E7DB" w14:textId="2581B707" w:rsidR="002246C1" w:rsidRDefault="002246C1" w:rsidP="002246C1">
      <w:r>
        <w:t>Left to Right-</w:t>
      </w:r>
    </w:p>
    <w:p w14:paraId="5DD8A562" w14:textId="77777777" w:rsidR="002246C1" w:rsidRDefault="002246C1" w:rsidP="002246C1">
      <w:r>
        <w:t>John Neufeld, Fairport</w:t>
      </w:r>
    </w:p>
    <w:p w14:paraId="04E8C9D3" w14:textId="77777777" w:rsidR="002246C1" w:rsidRDefault="002246C1" w:rsidP="002246C1">
      <w:pPr>
        <w:rPr>
          <w:sz w:val="22"/>
          <w:szCs w:val="22"/>
        </w:rPr>
      </w:pPr>
      <w:r>
        <w:t>Ralph Corey, Penn Yan</w:t>
      </w:r>
    </w:p>
    <w:p w14:paraId="2E3386EC" w14:textId="6E330A12" w:rsidR="002246C1" w:rsidRDefault="002246C1" w:rsidP="002246C1">
      <w:r>
        <w:t>Nate Bellinger, Boonville</w:t>
      </w:r>
    </w:p>
    <w:p w14:paraId="3716544B" w14:textId="6EAC8F8B" w:rsidR="002246C1" w:rsidRDefault="002246C1" w:rsidP="002246C1"/>
    <w:p w14:paraId="6D0BC094" w14:textId="77777777" w:rsidR="002246C1" w:rsidRDefault="002246C1" w:rsidP="002246C1"/>
    <w:p w14:paraId="749272FA" w14:textId="6A2CE196" w:rsidR="003C706A" w:rsidRDefault="00566F32" w:rsidP="003C706A">
      <w:pPr>
        <w:spacing w:after="160" w:line="259" w:lineRule="auto"/>
        <w:rPr>
          <w:rFonts w:eastAsiaTheme="minorHAnsi"/>
        </w:rPr>
      </w:pPr>
      <w:r>
        <w:rPr>
          <w:rFonts w:eastAsiaTheme="minorHAnsi"/>
          <w:noProof/>
        </w:rPr>
        <w:drawing>
          <wp:inline distT="0" distB="0" distL="0" distR="0" wp14:anchorId="56D73346" wp14:editId="388258CC">
            <wp:extent cx="2886075" cy="2781855"/>
            <wp:effectExtent l="0" t="0" r="0" b="0"/>
            <wp:docPr id="5" name="Picture 5" descr="&#10;Left to Right-&#10;John Neufeld, Fairport&#10;Ralph Corey, Penn Yan&#10;Nate Bellinger, Boonvill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10;Left to Right-&#10;John Neufeld, Fairport&#10;Ralph Corey, Penn Yan&#10;Nate Bellinger, Boonville&#10;&#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3597" cy="2789105"/>
                    </a:xfrm>
                    <a:prstGeom prst="rect">
                      <a:avLst/>
                    </a:prstGeom>
                  </pic:spPr>
                </pic:pic>
              </a:graphicData>
            </a:graphic>
          </wp:inline>
        </w:drawing>
      </w:r>
    </w:p>
    <w:p w14:paraId="7918B8D5" w14:textId="6F9005D8" w:rsidR="003C706A" w:rsidRPr="003C706A" w:rsidRDefault="003C706A" w:rsidP="003C706A">
      <w:pPr>
        <w:spacing w:after="160" w:line="259" w:lineRule="auto"/>
        <w:rPr>
          <w:rFonts w:eastAsiaTheme="minorHAnsi"/>
          <w:b/>
          <w:bCs/>
          <w:sz w:val="32"/>
          <w:szCs w:val="32"/>
        </w:rPr>
      </w:pPr>
      <w:r w:rsidRPr="003C706A">
        <w:rPr>
          <w:rFonts w:eastAsiaTheme="minorHAnsi"/>
          <w:b/>
          <w:bCs/>
          <w:sz w:val="32"/>
          <w:szCs w:val="32"/>
        </w:rPr>
        <w:t>State Budget</w:t>
      </w:r>
    </w:p>
    <w:p w14:paraId="4477AC34" w14:textId="77777777" w:rsidR="003C706A" w:rsidRPr="003C706A" w:rsidRDefault="003C706A" w:rsidP="003C706A">
      <w:pPr>
        <w:spacing w:after="160" w:line="259" w:lineRule="auto"/>
        <w:rPr>
          <w:rFonts w:eastAsiaTheme="minorHAnsi"/>
        </w:rPr>
      </w:pPr>
      <w:r w:rsidRPr="003C706A">
        <w:rPr>
          <w:rFonts w:eastAsiaTheme="minorHAnsi"/>
        </w:rPr>
        <w:t>As of today, April 4</w:t>
      </w:r>
      <w:r w:rsidRPr="003C706A">
        <w:rPr>
          <w:rFonts w:eastAsiaTheme="minorHAnsi"/>
          <w:vertAlign w:val="superscript"/>
        </w:rPr>
        <w:t>th</w:t>
      </w:r>
      <w:r w:rsidRPr="003C706A">
        <w:rPr>
          <w:rFonts w:eastAsiaTheme="minorHAnsi"/>
        </w:rPr>
        <w:t>, the state budget is still being worked on and developed.  There doesn’t appear to be any items that will hold up the process too long as we expect to see parts of the finalized budget plan later this week around April 6</w:t>
      </w:r>
      <w:r w:rsidRPr="003C706A">
        <w:rPr>
          <w:rFonts w:eastAsiaTheme="minorHAnsi"/>
          <w:vertAlign w:val="superscript"/>
        </w:rPr>
        <w:t>th</w:t>
      </w:r>
      <w:r w:rsidRPr="003C706A">
        <w:rPr>
          <w:rFonts w:eastAsiaTheme="minorHAnsi"/>
        </w:rPr>
        <w:t xml:space="preserve"> or 7</w:t>
      </w:r>
      <w:r w:rsidRPr="003C706A">
        <w:rPr>
          <w:rFonts w:eastAsiaTheme="minorHAnsi"/>
          <w:vertAlign w:val="superscript"/>
        </w:rPr>
        <w:t>th</w:t>
      </w:r>
      <w:r w:rsidRPr="003C706A">
        <w:rPr>
          <w:rFonts w:eastAsiaTheme="minorHAnsi"/>
        </w:rPr>
        <w:t>, if what we are hearing out of Albany is correct.  Stay tuned for the final budget report next month.</w:t>
      </w:r>
    </w:p>
    <w:p w14:paraId="3E16253A" w14:textId="77777777" w:rsidR="003C706A" w:rsidRPr="003C706A" w:rsidRDefault="003C706A" w:rsidP="003C706A">
      <w:pPr>
        <w:spacing w:after="160" w:line="259" w:lineRule="auto"/>
        <w:rPr>
          <w:rFonts w:eastAsiaTheme="minorHAnsi"/>
          <w:b/>
          <w:bCs/>
          <w:sz w:val="32"/>
          <w:szCs w:val="32"/>
        </w:rPr>
      </w:pPr>
      <w:r w:rsidRPr="003C706A">
        <w:rPr>
          <w:rFonts w:eastAsiaTheme="minorHAnsi"/>
          <w:b/>
          <w:bCs/>
          <w:sz w:val="32"/>
          <w:szCs w:val="32"/>
        </w:rPr>
        <w:t>Audit &amp; Budget Committee</w:t>
      </w:r>
    </w:p>
    <w:p w14:paraId="729EEFD8" w14:textId="77777777" w:rsidR="003C706A" w:rsidRPr="003C706A" w:rsidRDefault="003C706A" w:rsidP="003C706A">
      <w:pPr>
        <w:spacing w:after="160" w:line="259" w:lineRule="auto"/>
        <w:rPr>
          <w:rFonts w:eastAsiaTheme="minorHAnsi"/>
        </w:rPr>
      </w:pPr>
      <w:r w:rsidRPr="003C706A">
        <w:rPr>
          <w:rFonts w:eastAsiaTheme="minorHAnsi"/>
        </w:rPr>
        <w:t>The Audit &amp; Budget Committee met on March 10</w:t>
      </w:r>
      <w:r w:rsidRPr="003C706A">
        <w:rPr>
          <w:rFonts w:eastAsiaTheme="minorHAnsi"/>
          <w:vertAlign w:val="superscript"/>
        </w:rPr>
        <w:t>th</w:t>
      </w:r>
      <w:r w:rsidRPr="003C706A">
        <w:rPr>
          <w:rFonts w:eastAsiaTheme="minorHAnsi"/>
        </w:rPr>
        <w:t xml:space="preserve"> and reviewed the MEUA’s Financials for the 2021 timeframe.  Pam Gilbert, Chair – Spencerport, Karen Carr – Spencerport, Mary Ann Henderson – Hamilton and Bryan white – Fairport/MEUA attended and preformed the review.</w:t>
      </w:r>
    </w:p>
    <w:p w14:paraId="56642023" w14:textId="77777777" w:rsidR="003C706A" w:rsidRPr="003C706A" w:rsidRDefault="003C706A" w:rsidP="003C706A">
      <w:pPr>
        <w:spacing w:after="160" w:line="259" w:lineRule="auto"/>
        <w:rPr>
          <w:rFonts w:eastAsiaTheme="minorHAnsi"/>
        </w:rPr>
      </w:pPr>
      <w:r w:rsidRPr="003C706A">
        <w:rPr>
          <w:rFonts w:eastAsiaTheme="minorHAnsi"/>
        </w:rPr>
        <w:t>The Committee will give their report at the MEUA Semi-Annual Meeting April 13</w:t>
      </w:r>
      <w:r w:rsidRPr="003C706A">
        <w:rPr>
          <w:rFonts w:eastAsiaTheme="minorHAnsi"/>
          <w:vertAlign w:val="superscript"/>
        </w:rPr>
        <w:t>th</w:t>
      </w:r>
      <w:r w:rsidRPr="003C706A">
        <w:rPr>
          <w:rFonts w:eastAsiaTheme="minorHAnsi"/>
        </w:rPr>
        <w:t>.</w:t>
      </w:r>
    </w:p>
    <w:p w14:paraId="34A7F080" w14:textId="77777777" w:rsidR="003C706A" w:rsidRPr="003C706A" w:rsidRDefault="003C706A" w:rsidP="003C706A">
      <w:pPr>
        <w:spacing w:after="160" w:line="259" w:lineRule="auto"/>
        <w:rPr>
          <w:rFonts w:eastAsiaTheme="minorHAnsi"/>
          <w:b/>
          <w:bCs/>
          <w:sz w:val="32"/>
          <w:szCs w:val="32"/>
        </w:rPr>
      </w:pPr>
      <w:r w:rsidRPr="003C706A">
        <w:rPr>
          <w:rFonts w:eastAsiaTheme="minorHAnsi"/>
          <w:b/>
          <w:bCs/>
          <w:sz w:val="32"/>
          <w:szCs w:val="32"/>
        </w:rPr>
        <w:t>Accounting &amp; Financing Workshop</w:t>
      </w:r>
    </w:p>
    <w:p w14:paraId="29C240CF" w14:textId="77777777" w:rsidR="003C706A" w:rsidRPr="003C706A" w:rsidRDefault="003C706A" w:rsidP="003C706A">
      <w:pPr>
        <w:spacing w:after="160" w:line="259" w:lineRule="auto"/>
        <w:rPr>
          <w:rFonts w:eastAsiaTheme="minorHAnsi"/>
        </w:rPr>
      </w:pPr>
      <w:r w:rsidRPr="003C706A">
        <w:rPr>
          <w:rFonts w:eastAsiaTheme="minorHAnsi"/>
        </w:rPr>
        <w:t>The Accounting &amp; Finance Workshop will be May 10 – 11 in Syracuse.</w:t>
      </w:r>
    </w:p>
    <w:p w14:paraId="1C3D04AA" w14:textId="43780A4B" w:rsidR="003C706A" w:rsidRPr="003C706A" w:rsidRDefault="003C706A" w:rsidP="003C706A">
      <w:pPr>
        <w:spacing w:after="160" w:line="259" w:lineRule="auto"/>
        <w:rPr>
          <w:rFonts w:eastAsiaTheme="minorHAnsi"/>
        </w:rPr>
      </w:pPr>
      <w:r w:rsidRPr="003C706A">
        <w:rPr>
          <w:rFonts w:eastAsiaTheme="minorHAnsi"/>
        </w:rPr>
        <w:lastRenderedPageBreak/>
        <w:t>The agenda is almost finalized and will be sent out with registration forms soon.</w:t>
      </w:r>
      <w:r w:rsidR="00791CCB">
        <w:rPr>
          <w:rFonts w:eastAsiaTheme="minorHAnsi"/>
        </w:rPr>
        <w:t xml:space="preserve"> Registration form enclosed.</w:t>
      </w:r>
    </w:p>
    <w:p w14:paraId="6BE8C1D3" w14:textId="77777777" w:rsidR="003C706A" w:rsidRPr="003C706A" w:rsidRDefault="003C706A" w:rsidP="003C706A">
      <w:pPr>
        <w:spacing w:after="160" w:line="259" w:lineRule="auto"/>
        <w:rPr>
          <w:rFonts w:eastAsiaTheme="minorHAnsi"/>
        </w:rPr>
      </w:pPr>
      <w:r w:rsidRPr="003C706A">
        <w:rPr>
          <w:rFonts w:eastAsiaTheme="minorHAnsi"/>
        </w:rPr>
        <w:t xml:space="preserve">Please plan on attending as the Committee is working hard to put on a great workshop. </w:t>
      </w:r>
    </w:p>
    <w:p w14:paraId="5B60B436" w14:textId="77777777" w:rsidR="003C706A" w:rsidRPr="003C706A" w:rsidRDefault="003C706A" w:rsidP="003C706A">
      <w:pPr>
        <w:spacing w:after="160" w:line="259" w:lineRule="auto"/>
        <w:rPr>
          <w:rFonts w:eastAsiaTheme="minorHAnsi"/>
          <w:b/>
          <w:bCs/>
          <w:sz w:val="32"/>
          <w:szCs w:val="32"/>
        </w:rPr>
      </w:pPr>
      <w:r w:rsidRPr="003C706A">
        <w:rPr>
          <w:rFonts w:eastAsiaTheme="minorHAnsi"/>
          <w:b/>
          <w:bCs/>
          <w:sz w:val="32"/>
          <w:szCs w:val="32"/>
        </w:rPr>
        <w:t>Smart Connect Project (Jay Brew)</w:t>
      </w:r>
    </w:p>
    <w:p w14:paraId="27EE5F80" w14:textId="471FCA37" w:rsidR="003C706A" w:rsidRPr="003C706A" w:rsidRDefault="003C706A" w:rsidP="003C706A">
      <w:pPr>
        <w:shd w:val="clear" w:color="auto" w:fill="FFFFFF"/>
        <w:spacing w:after="160" w:line="259" w:lineRule="auto"/>
        <w:rPr>
          <w:rFonts w:eastAsiaTheme="minorHAnsi"/>
          <w:color w:val="000000"/>
        </w:rPr>
      </w:pPr>
      <w:r w:rsidRPr="003C706A">
        <w:rPr>
          <w:rFonts w:eastAsiaTheme="minorHAnsi"/>
          <w:color w:val="000000"/>
        </w:rPr>
        <w:t>As previously noted, NYPA and National Grid filed separate applications at FERC for an Abandonment incentive for the Smart Connect Project (cost recovery if the project dies), On Friday and Monday, FERC conditionally approved the requests after noting that neither provided the information FERC requires to get the incentive</w:t>
      </w:r>
      <w:r w:rsidR="003C1F56">
        <w:rPr>
          <w:rFonts w:eastAsiaTheme="minorHAnsi"/>
          <w:color w:val="000000"/>
        </w:rPr>
        <w:t xml:space="preserve">, </w:t>
      </w:r>
      <w:r w:rsidRPr="003C706A">
        <w:rPr>
          <w:rFonts w:eastAsiaTheme="minorHAnsi"/>
          <w:color w:val="000000"/>
        </w:rPr>
        <w:t>but it would rely on PSC findings in the Article VII cases. </w:t>
      </w:r>
    </w:p>
    <w:p w14:paraId="7ED269D8" w14:textId="77777777" w:rsidR="003C706A" w:rsidRPr="003C706A" w:rsidRDefault="003C706A" w:rsidP="003C706A">
      <w:pPr>
        <w:shd w:val="clear" w:color="auto" w:fill="FFFFFF"/>
        <w:spacing w:after="160" w:line="259" w:lineRule="auto"/>
        <w:rPr>
          <w:rFonts w:eastAsiaTheme="minorHAnsi"/>
          <w:color w:val="000000"/>
        </w:rPr>
      </w:pPr>
      <w:r w:rsidRPr="003C706A">
        <w:rPr>
          <w:rFonts w:eastAsiaTheme="minorHAnsi"/>
          <w:color w:val="000000"/>
        </w:rPr>
        <w:t>Next, NYPA filed for additional rate incentives in early February in a docket in which MEUA has intervened. Finally, last week, National Grid made its companion incentive rate filing. Grid requests the following:  </w:t>
      </w:r>
    </w:p>
    <w:p w14:paraId="69337415" w14:textId="77777777" w:rsidR="003C706A" w:rsidRPr="003C706A" w:rsidRDefault="003C706A" w:rsidP="003C706A">
      <w:pPr>
        <w:numPr>
          <w:ilvl w:val="0"/>
          <w:numId w:val="20"/>
        </w:numPr>
        <w:spacing w:before="100" w:beforeAutospacing="1" w:after="100" w:afterAutospacing="1" w:line="259" w:lineRule="auto"/>
        <w:rPr>
          <w:color w:val="000000"/>
        </w:rPr>
      </w:pPr>
      <w:r w:rsidRPr="003C706A">
        <w:rPr>
          <w:color w:val="000000"/>
          <w:bdr w:val="none" w:sz="0" w:space="0" w:color="auto" w:frame="1"/>
        </w:rPr>
        <w:t>Allocation and collection of the costs of the Project from all New York load-serving entities on a statewide, volumetric load ratio share basis. NMPC claims this allocation is appropriate because the Project is designated as a priority transmission project that benefits consumers across New York in various ways. This is the most objectional aspect of the filing form an MEUA perspective because it disregards the "beneficiary pays" principle previously followed.</w:t>
      </w:r>
      <w:r w:rsidRPr="003C706A">
        <w:rPr>
          <w:color w:val="000000"/>
        </w:rPr>
        <w:t> </w:t>
      </w:r>
    </w:p>
    <w:p w14:paraId="75F94A21" w14:textId="77777777" w:rsidR="003C706A" w:rsidRPr="003C706A" w:rsidRDefault="003C706A" w:rsidP="003C706A">
      <w:pPr>
        <w:numPr>
          <w:ilvl w:val="0"/>
          <w:numId w:val="20"/>
        </w:numPr>
        <w:spacing w:before="100" w:beforeAutospacing="1" w:after="100" w:afterAutospacing="1" w:line="259" w:lineRule="auto"/>
        <w:rPr>
          <w:color w:val="000000"/>
        </w:rPr>
      </w:pPr>
      <w:r w:rsidRPr="003C706A">
        <w:rPr>
          <w:color w:val="000000"/>
          <w:bdr w:val="none" w:sz="0" w:space="0" w:color="auto" w:frame="1"/>
        </w:rPr>
        <w:t>Approval of a cost of capital based on a 10.5% ROE. Grid claims this ROE is developed in accordance with FERC’s current ROE methodology. Informally, Grid wants the same ROE that NY Transco and NextEra received (</w:t>
      </w:r>
      <w:proofErr w:type="spellStart"/>
      <w:r w:rsidRPr="003C706A">
        <w:rPr>
          <w:color w:val="000000"/>
          <w:bdr w:val="none" w:sz="0" w:space="0" w:color="auto" w:frame="1"/>
        </w:rPr>
        <w:t>i.e</w:t>
      </w:r>
      <w:proofErr w:type="spellEnd"/>
      <w:r w:rsidRPr="003C706A">
        <w:rPr>
          <w:color w:val="000000"/>
          <w:bdr w:val="none" w:sz="0" w:space="0" w:color="auto" w:frame="1"/>
        </w:rPr>
        <w:t>, around 9.5% plus the incentives).</w:t>
      </w:r>
      <w:r w:rsidRPr="003C706A">
        <w:rPr>
          <w:color w:val="000000"/>
        </w:rPr>
        <w:t> </w:t>
      </w:r>
    </w:p>
    <w:p w14:paraId="779DC188" w14:textId="77777777" w:rsidR="003C706A" w:rsidRPr="003C706A" w:rsidRDefault="003C706A" w:rsidP="003C706A">
      <w:pPr>
        <w:numPr>
          <w:ilvl w:val="0"/>
          <w:numId w:val="20"/>
        </w:numPr>
        <w:spacing w:before="100" w:beforeAutospacing="1" w:after="100" w:afterAutospacing="1" w:line="259" w:lineRule="auto"/>
        <w:rPr>
          <w:color w:val="000000"/>
        </w:rPr>
      </w:pPr>
      <w:r w:rsidRPr="003C706A">
        <w:rPr>
          <w:color w:val="000000"/>
          <w:bdr w:val="none" w:sz="0" w:space="0" w:color="auto" w:frame="1"/>
        </w:rPr>
        <w:t>Transmission rate incentives:</w:t>
      </w:r>
      <w:r w:rsidRPr="003C706A">
        <w:rPr>
          <w:color w:val="000000"/>
        </w:rPr>
        <w:t> </w:t>
      </w:r>
    </w:p>
    <w:p w14:paraId="7A166DD2" w14:textId="77777777" w:rsidR="003C706A" w:rsidRPr="003C706A" w:rsidRDefault="003C706A" w:rsidP="003C706A">
      <w:pPr>
        <w:numPr>
          <w:ilvl w:val="1"/>
          <w:numId w:val="20"/>
        </w:numPr>
        <w:spacing w:before="100" w:beforeAutospacing="1" w:after="100" w:afterAutospacing="1" w:line="259" w:lineRule="auto"/>
        <w:rPr>
          <w:color w:val="000000"/>
        </w:rPr>
      </w:pPr>
      <w:r w:rsidRPr="003C706A">
        <w:rPr>
          <w:color w:val="000000"/>
          <w:bdr w:val="none" w:sz="0" w:space="0" w:color="auto" w:frame="1"/>
        </w:rPr>
        <w:t xml:space="preserve">A </w:t>
      </w:r>
      <w:proofErr w:type="gramStart"/>
      <w:r w:rsidRPr="003C706A">
        <w:rPr>
          <w:color w:val="000000"/>
          <w:bdr w:val="none" w:sz="0" w:space="0" w:color="auto" w:frame="1"/>
        </w:rPr>
        <w:t>50 basis</w:t>
      </w:r>
      <w:proofErr w:type="gramEnd"/>
      <w:r w:rsidRPr="003C706A">
        <w:rPr>
          <w:color w:val="000000"/>
          <w:bdr w:val="none" w:sz="0" w:space="0" w:color="auto" w:frame="1"/>
        </w:rPr>
        <w:t xml:space="preserve"> point ROE Risk Adder representing the risks and challenges not readily accounted for in Grid’s base ROE;</w:t>
      </w:r>
      <w:r w:rsidRPr="003C706A">
        <w:rPr>
          <w:color w:val="000000"/>
        </w:rPr>
        <w:t> </w:t>
      </w:r>
    </w:p>
    <w:p w14:paraId="49801563" w14:textId="77777777" w:rsidR="003C706A" w:rsidRPr="003C706A" w:rsidRDefault="003C706A" w:rsidP="003C706A">
      <w:pPr>
        <w:numPr>
          <w:ilvl w:val="1"/>
          <w:numId w:val="20"/>
        </w:numPr>
        <w:spacing w:before="100" w:beforeAutospacing="1" w:after="100" w:afterAutospacing="1" w:line="259" w:lineRule="auto"/>
        <w:rPr>
          <w:color w:val="000000"/>
        </w:rPr>
      </w:pPr>
      <w:r w:rsidRPr="003C706A">
        <w:rPr>
          <w:color w:val="000000"/>
          <w:bdr w:val="none" w:sz="0" w:space="0" w:color="auto" w:frame="1"/>
        </w:rPr>
        <w:t xml:space="preserve">A </w:t>
      </w:r>
      <w:proofErr w:type="gramStart"/>
      <w:r w:rsidRPr="003C706A">
        <w:rPr>
          <w:color w:val="000000"/>
          <w:bdr w:val="none" w:sz="0" w:space="0" w:color="auto" w:frame="1"/>
        </w:rPr>
        <w:t>50 basis</w:t>
      </w:r>
      <w:proofErr w:type="gramEnd"/>
      <w:r w:rsidRPr="003C706A">
        <w:rPr>
          <w:color w:val="000000"/>
          <w:bdr w:val="none" w:sz="0" w:space="0" w:color="auto" w:frame="1"/>
        </w:rPr>
        <w:t xml:space="preserve"> point ROE adder for participating in an RTO, or </w:t>
      </w:r>
      <w:r w:rsidRPr="003C706A">
        <w:rPr>
          <w:color w:val="000000"/>
          <w:bdr w:val="none" w:sz="0" w:space="0" w:color="auto" w:frame="1"/>
        </w:rPr>
        <w:t>alternatively, a 50 basis point adder based on benefits provided to customers;</w:t>
      </w:r>
      <w:r w:rsidRPr="003C706A">
        <w:rPr>
          <w:color w:val="000000"/>
        </w:rPr>
        <w:t> </w:t>
      </w:r>
    </w:p>
    <w:p w14:paraId="51C159CB" w14:textId="77777777" w:rsidR="003C706A" w:rsidRPr="003C706A" w:rsidRDefault="003C706A" w:rsidP="003C706A">
      <w:pPr>
        <w:numPr>
          <w:ilvl w:val="1"/>
          <w:numId w:val="20"/>
        </w:numPr>
        <w:spacing w:before="100" w:beforeAutospacing="1" w:after="100" w:afterAutospacing="1" w:line="259" w:lineRule="auto"/>
        <w:rPr>
          <w:color w:val="000000"/>
        </w:rPr>
      </w:pPr>
      <w:r w:rsidRPr="003C706A">
        <w:rPr>
          <w:color w:val="000000"/>
          <w:bdr w:val="none" w:sz="0" w:space="0" w:color="auto" w:frame="1"/>
        </w:rPr>
        <w:t>Recovery of 100% of prudently incurred costs for construction work in progress in rate base; and</w:t>
      </w:r>
      <w:r w:rsidRPr="003C706A">
        <w:rPr>
          <w:color w:val="000000"/>
        </w:rPr>
        <w:t> </w:t>
      </w:r>
    </w:p>
    <w:p w14:paraId="43A457F5" w14:textId="4A0DF554" w:rsidR="003C706A" w:rsidRPr="003C706A" w:rsidRDefault="003C706A" w:rsidP="003C706A">
      <w:pPr>
        <w:numPr>
          <w:ilvl w:val="1"/>
          <w:numId w:val="20"/>
        </w:numPr>
        <w:spacing w:line="259" w:lineRule="auto"/>
        <w:rPr>
          <w:color w:val="000000"/>
        </w:rPr>
      </w:pPr>
      <w:r w:rsidRPr="003C706A">
        <w:rPr>
          <w:color w:val="000000"/>
          <w:bdr w:val="none" w:sz="0" w:space="0" w:color="auto" w:frame="1"/>
        </w:rPr>
        <w:t>A performance-based rate ROE adjustment associated with the implementation of the cost containment commitment (discussed below), which would add 5 to</w:t>
      </w:r>
    </w:p>
    <w:p w14:paraId="53C3FE42" w14:textId="77777777" w:rsidR="003C706A" w:rsidRDefault="003C706A" w:rsidP="003C706A">
      <w:pPr>
        <w:spacing w:after="100" w:afterAutospacing="1"/>
        <w:ind w:left="1440"/>
        <w:rPr>
          <w:color w:val="000000"/>
        </w:rPr>
      </w:pPr>
      <w:r w:rsidRPr="003C706A">
        <w:rPr>
          <w:color w:val="000000"/>
          <w:bdr w:val="none" w:sz="0" w:space="0" w:color="auto" w:frame="1"/>
        </w:rPr>
        <w:t>71 basis points to ROE based on Grid’s ability to develop the Project below the Cost Cap.</w:t>
      </w:r>
      <w:r w:rsidRPr="003C706A">
        <w:rPr>
          <w:color w:val="000000"/>
        </w:rPr>
        <w:t> </w:t>
      </w:r>
    </w:p>
    <w:p w14:paraId="206850A9" w14:textId="2331004D" w:rsidR="002246C1" w:rsidRDefault="003C706A" w:rsidP="002246C1">
      <w:pPr>
        <w:rPr>
          <w:color w:val="000000"/>
        </w:rPr>
      </w:pPr>
      <w:r w:rsidRPr="003C706A">
        <w:rPr>
          <w:color w:val="000000"/>
          <w:bdr w:val="none" w:sz="0" w:space="0" w:color="auto" w:frame="1"/>
        </w:rPr>
        <w:t>In total, Grid seeks a total ROE of 11.5%, but this may increase if the Company also receives the performance-based rate ROE adjustment to anywhere between 11.5% and 12.21%. claims that these incentives are justified based on the risks and challenges in developing the Project.</w:t>
      </w:r>
      <w:r w:rsidRPr="003C706A">
        <w:rPr>
          <w:color w:val="000000"/>
          <w:sz w:val="22"/>
          <w:szCs w:val="22"/>
        </w:rPr>
        <w:t> </w:t>
      </w:r>
      <w:r w:rsidRPr="003C706A">
        <w:rPr>
          <w:color w:val="000000"/>
        </w:rPr>
        <w:br/>
      </w:r>
      <w:r w:rsidRPr="003C706A">
        <w:rPr>
          <w:color w:val="000000"/>
        </w:rPr>
        <w:br/>
      </w:r>
      <w:r w:rsidRPr="003C706A">
        <w:rPr>
          <w:color w:val="000000"/>
          <w:bdr w:val="none" w:sz="0" w:space="0" w:color="auto" w:frame="1"/>
        </w:rPr>
        <w:t>The cost recovery will be accomplished by adding to the NYISO tariff a new Smart Path Connect Facilities Charge (SPC-FC). </w:t>
      </w:r>
      <w:r w:rsidRPr="003C706A">
        <w:rPr>
          <w:color w:val="000000"/>
        </w:rPr>
        <w:br/>
      </w:r>
      <w:r w:rsidRPr="003C706A">
        <w:rPr>
          <w:color w:val="000000"/>
        </w:rPr>
        <w:br/>
      </w:r>
      <w:r w:rsidRPr="003C706A">
        <w:rPr>
          <w:color w:val="000000"/>
          <w:bdr w:val="none" w:sz="0" w:space="0" w:color="auto" w:frame="1"/>
        </w:rPr>
        <w:t>The MEUA has intervened to protest the requested ROE and cost allocation.</w:t>
      </w:r>
      <w:r w:rsidRPr="003C706A">
        <w:rPr>
          <w:color w:val="000000"/>
        </w:rPr>
        <w:t> </w:t>
      </w:r>
    </w:p>
    <w:p w14:paraId="305634B4" w14:textId="5A51FFF1" w:rsidR="003C706A" w:rsidRPr="003C706A" w:rsidRDefault="003C706A" w:rsidP="002246C1">
      <w:pPr>
        <w:spacing w:after="100" w:afterAutospacing="1"/>
        <w:rPr>
          <w:color w:val="000000"/>
        </w:rPr>
      </w:pPr>
      <w:r w:rsidRPr="003C706A">
        <w:rPr>
          <w:color w:val="000000"/>
        </w:rPr>
        <w:br/>
        <w:t> Thank you.</w:t>
      </w:r>
    </w:p>
    <w:p w14:paraId="68E758A5" w14:textId="53828E09" w:rsidR="00A57B79" w:rsidRPr="003C706A" w:rsidRDefault="00C15F0A" w:rsidP="008C44AA">
      <w:pPr>
        <w:spacing w:after="160" w:line="259" w:lineRule="auto"/>
        <w:jc w:val="both"/>
        <w:rPr>
          <w:rFonts w:eastAsiaTheme="minorHAnsi"/>
        </w:rPr>
      </w:pPr>
      <w:r w:rsidRPr="003C706A">
        <w:rPr>
          <w:rFonts w:eastAsiaTheme="minorHAnsi"/>
          <w:noProof/>
        </w:rPr>
        <w:drawing>
          <wp:anchor distT="0" distB="0" distL="114300" distR="114300" simplePos="0" relativeHeight="251659264" behindDoc="0" locked="0" layoutInCell="1" allowOverlap="1" wp14:anchorId="5B0264F6" wp14:editId="2CD4C973">
            <wp:simplePos x="0" y="0"/>
            <wp:positionH relativeFrom="column">
              <wp:posOffset>47625</wp:posOffset>
            </wp:positionH>
            <wp:positionV relativeFrom="paragraph">
              <wp:posOffset>88900</wp:posOffset>
            </wp:positionV>
            <wp:extent cx="1749425" cy="1749425"/>
            <wp:effectExtent l="0" t="0" r="3175" b="317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9425" cy="1749425"/>
                    </a:xfrm>
                    <a:prstGeom prst="rect">
                      <a:avLst/>
                    </a:prstGeom>
                    <a:noFill/>
                    <a:ln>
                      <a:noFill/>
                    </a:ln>
                  </pic:spPr>
                </pic:pic>
              </a:graphicData>
            </a:graphic>
          </wp:anchor>
        </w:drawing>
      </w:r>
    </w:p>
    <w:p w14:paraId="51AB7124" w14:textId="0641F7FF" w:rsidR="00FA7F0A" w:rsidRPr="003C706A" w:rsidRDefault="00FA7F0A" w:rsidP="00C15F0A">
      <w:pPr>
        <w:spacing w:after="160" w:line="259" w:lineRule="auto"/>
        <w:rPr>
          <w:rFonts w:eastAsiaTheme="minorHAnsi"/>
          <w:b/>
          <w:bCs/>
        </w:rPr>
      </w:pPr>
      <w:r w:rsidRPr="003C706A">
        <w:rPr>
          <w:rFonts w:eastAsiaTheme="minorHAnsi"/>
          <w:b/>
          <w:bCs/>
        </w:rPr>
        <w:t xml:space="preserve">Chris </w:t>
      </w:r>
      <w:proofErr w:type="spellStart"/>
      <w:r w:rsidRPr="003C706A">
        <w:rPr>
          <w:rFonts w:eastAsiaTheme="minorHAnsi"/>
          <w:b/>
          <w:bCs/>
        </w:rPr>
        <w:t>Wentlent</w:t>
      </w:r>
      <w:proofErr w:type="spellEnd"/>
      <w:r w:rsidRPr="003C706A">
        <w:rPr>
          <w:rFonts w:eastAsiaTheme="minorHAnsi"/>
          <w:b/>
          <w:bCs/>
        </w:rPr>
        <w:t xml:space="preserve">: </w:t>
      </w:r>
      <w:r w:rsidR="00E17020" w:rsidRPr="003C706A">
        <w:rPr>
          <w:rFonts w:eastAsiaTheme="minorHAnsi"/>
          <w:b/>
          <w:bCs/>
        </w:rPr>
        <w:t>MEUA</w:t>
      </w:r>
      <w:r w:rsidRPr="003C706A">
        <w:rPr>
          <w:rFonts w:eastAsiaTheme="minorHAnsi"/>
          <w:b/>
          <w:bCs/>
        </w:rPr>
        <w:t xml:space="preserve"> Advisor</w:t>
      </w:r>
    </w:p>
    <w:p w14:paraId="71F1965F" w14:textId="64972C69" w:rsidR="00A444F3" w:rsidRPr="003C706A" w:rsidRDefault="00A444F3" w:rsidP="008C44AA">
      <w:pPr>
        <w:spacing w:line="259" w:lineRule="auto"/>
        <w:jc w:val="both"/>
        <w:rPr>
          <w:rFonts w:eastAsiaTheme="minorHAnsi"/>
        </w:rPr>
      </w:pPr>
    </w:p>
    <w:p w14:paraId="39204A92" w14:textId="2CD2FBC4" w:rsidR="00FA7F0A" w:rsidRPr="003C706A" w:rsidRDefault="001C7107" w:rsidP="008C44AA">
      <w:pPr>
        <w:spacing w:line="259" w:lineRule="auto"/>
        <w:jc w:val="both"/>
        <w:rPr>
          <w:rFonts w:eastAsiaTheme="minorHAnsi"/>
          <w:b/>
          <w:bCs/>
        </w:rPr>
      </w:pPr>
      <w:r w:rsidRPr="003C706A">
        <w:rPr>
          <w:rFonts w:eastAsiaTheme="minorHAnsi"/>
          <w:b/>
          <w:bCs/>
        </w:rPr>
        <w:t>March</w:t>
      </w:r>
      <w:r w:rsidR="00A444F3" w:rsidRPr="003C706A">
        <w:rPr>
          <w:rFonts w:eastAsiaTheme="minorHAnsi"/>
          <w:b/>
          <w:bCs/>
        </w:rPr>
        <w:t xml:space="preserve"> </w:t>
      </w:r>
      <w:r w:rsidR="00FA7F0A" w:rsidRPr="003C706A">
        <w:rPr>
          <w:rFonts w:eastAsiaTheme="minorHAnsi"/>
          <w:b/>
          <w:bCs/>
        </w:rPr>
        <w:t>202</w:t>
      </w:r>
      <w:r w:rsidR="00E17020" w:rsidRPr="003C706A">
        <w:rPr>
          <w:rFonts w:eastAsiaTheme="minorHAnsi"/>
          <w:b/>
          <w:bCs/>
        </w:rPr>
        <w:t>2</w:t>
      </w:r>
    </w:p>
    <w:p w14:paraId="2A5E231E" w14:textId="537E38BB" w:rsidR="00D25A14" w:rsidRPr="003C706A" w:rsidRDefault="00D25A14" w:rsidP="008C44AA">
      <w:pPr>
        <w:spacing w:after="160" w:line="259" w:lineRule="auto"/>
        <w:jc w:val="both"/>
        <w:rPr>
          <w:rFonts w:eastAsiaTheme="minorHAnsi"/>
        </w:rPr>
      </w:pPr>
    </w:p>
    <w:p w14:paraId="7875FEE0" w14:textId="77777777" w:rsidR="00D25A14" w:rsidRPr="003C706A" w:rsidRDefault="00D25A14" w:rsidP="008C44AA">
      <w:pPr>
        <w:spacing w:after="160" w:line="259" w:lineRule="auto"/>
        <w:jc w:val="both"/>
        <w:rPr>
          <w:rFonts w:eastAsiaTheme="minorHAnsi"/>
        </w:rPr>
      </w:pPr>
    </w:p>
    <w:p w14:paraId="1908E76D" w14:textId="77777777" w:rsidR="00C15F0A" w:rsidRPr="003C706A" w:rsidRDefault="00C15F0A" w:rsidP="00612557">
      <w:pPr>
        <w:spacing w:before="100" w:beforeAutospacing="1" w:line="259" w:lineRule="auto"/>
        <w:jc w:val="both"/>
        <w:rPr>
          <w:rFonts w:eastAsiaTheme="minorHAnsi"/>
        </w:rPr>
      </w:pPr>
    </w:p>
    <w:p w14:paraId="0391879C" w14:textId="77777777" w:rsidR="003C706A" w:rsidRPr="003C706A" w:rsidRDefault="003C706A" w:rsidP="003C706A">
      <w:pPr>
        <w:spacing w:line="0" w:lineRule="atLeast"/>
        <w:rPr>
          <w:rFonts w:eastAsia="Arial"/>
          <w:b/>
          <w:sz w:val="22"/>
          <w:szCs w:val="22"/>
        </w:rPr>
      </w:pPr>
      <w:r w:rsidRPr="003C706A">
        <w:rPr>
          <w:rFonts w:eastAsia="Arial"/>
          <w:b/>
          <w:sz w:val="22"/>
          <w:szCs w:val="22"/>
        </w:rPr>
        <w:t>NYISO Update – April 2022</w:t>
      </w:r>
    </w:p>
    <w:p w14:paraId="010C1077" w14:textId="77777777" w:rsidR="003C706A" w:rsidRPr="003C706A" w:rsidRDefault="003C706A" w:rsidP="003C706A">
      <w:pPr>
        <w:spacing w:line="287" w:lineRule="exact"/>
        <w:rPr>
          <w:bCs/>
          <w:sz w:val="22"/>
          <w:szCs w:val="22"/>
        </w:rPr>
      </w:pPr>
    </w:p>
    <w:p w14:paraId="46E05FD3" w14:textId="77777777" w:rsidR="003C706A" w:rsidRPr="003C706A" w:rsidRDefault="003C706A" w:rsidP="003C706A">
      <w:pPr>
        <w:tabs>
          <w:tab w:val="left" w:pos="720"/>
        </w:tabs>
        <w:spacing w:line="232" w:lineRule="auto"/>
        <w:ind w:right="420"/>
        <w:rPr>
          <w:rFonts w:eastAsia="Arial"/>
          <w:b/>
          <w:bCs/>
          <w:sz w:val="22"/>
          <w:szCs w:val="22"/>
        </w:rPr>
      </w:pPr>
      <w:r w:rsidRPr="003C706A">
        <w:rPr>
          <w:rFonts w:eastAsia="Arial"/>
          <w:b/>
          <w:bCs/>
          <w:sz w:val="22"/>
          <w:szCs w:val="22"/>
        </w:rPr>
        <w:t>New York Independent System Operator (NYISO) Update</w:t>
      </w:r>
    </w:p>
    <w:p w14:paraId="28C8FD25" w14:textId="77777777" w:rsidR="003C706A" w:rsidRPr="003C706A" w:rsidRDefault="003C706A" w:rsidP="006D1302">
      <w:pPr>
        <w:tabs>
          <w:tab w:val="left" w:pos="720"/>
        </w:tabs>
        <w:spacing w:line="232" w:lineRule="auto"/>
        <w:ind w:right="420"/>
        <w:rPr>
          <w:rFonts w:eastAsia="Arial"/>
          <w:bCs/>
          <w:sz w:val="22"/>
          <w:szCs w:val="22"/>
        </w:rPr>
      </w:pPr>
      <w:r w:rsidRPr="003C706A">
        <w:rPr>
          <w:rFonts w:eastAsia="Arial"/>
          <w:b/>
          <w:bCs/>
          <w:sz w:val="22"/>
          <w:szCs w:val="22"/>
        </w:rPr>
        <w:t>NYISO Buyer Side Mitigation (BSM) Filing</w:t>
      </w:r>
      <w:r w:rsidRPr="003C706A">
        <w:rPr>
          <w:rFonts w:eastAsia="Arial"/>
          <w:bCs/>
          <w:sz w:val="22"/>
          <w:szCs w:val="22"/>
        </w:rPr>
        <w:t xml:space="preserve"> – The Federal Energy Regulatory Commission (FERC) issued a deficiency letter with questions. On March 11, the NYISO responded to the letter and is awaiting the FERC’s response. This docket is </w:t>
      </w:r>
      <w:r w:rsidRPr="003C706A">
        <w:rPr>
          <w:rFonts w:eastAsia="Arial"/>
          <w:bCs/>
          <w:sz w:val="22"/>
          <w:szCs w:val="22"/>
        </w:rPr>
        <w:lastRenderedPageBreak/>
        <w:t xml:space="preserve">important because it will impact how clean energy resources are transitioned into the NYISO Capacity Market, and how to properly quantify how the capacity value of those resources is determined to ensure system reliability is maintained. </w:t>
      </w:r>
    </w:p>
    <w:p w14:paraId="41A42B10" w14:textId="77777777" w:rsidR="003C706A" w:rsidRPr="003C706A" w:rsidRDefault="003C706A" w:rsidP="003C706A">
      <w:pPr>
        <w:tabs>
          <w:tab w:val="left" w:pos="720"/>
        </w:tabs>
        <w:spacing w:line="232" w:lineRule="auto"/>
        <w:ind w:right="420"/>
        <w:rPr>
          <w:rFonts w:eastAsia="Arial"/>
          <w:b/>
          <w:sz w:val="22"/>
          <w:szCs w:val="22"/>
        </w:rPr>
      </w:pPr>
    </w:p>
    <w:p w14:paraId="5214EE9C" w14:textId="77777777" w:rsidR="003C706A" w:rsidRPr="003C706A" w:rsidRDefault="003C706A" w:rsidP="003C706A">
      <w:pPr>
        <w:tabs>
          <w:tab w:val="left" w:pos="720"/>
        </w:tabs>
        <w:spacing w:line="232" w:lineRule="auto"/>
        <w:ind w:right="420"/>
        <w:rPr>
          <w:rFonts w:eastAsia="Arial"/>
          <w:b/>
          <w:sz w:val="22"/>
          <w:szCs w:val="22"/>
        </w:rPr>
      </w:pPr>
      <w:r w:rsidRPr="003C706A">
        <w:rPr>
          <w:rFonts w:eastAsia="Arial"/>
          <w:b/>
          <w:sz w:val="22"/>
          <w:szCs w:val="22"/>
        </w:rPr>
        <w:t>Transmission Update</w:t>
      </w:r>
    </w:p>
    <w:p w14:paraId="0812C2CC" w14:textId="77777777" w:rsidR="003C706A" w:rsidRPr="003C706A" w:rsidRDefault="003C706A" w:rsidP="006D1302">
      <w:pPr>
        <w:tabs>
          <w:tab w:val="left" w:pos="720"/>
        </w:tabs>
        <w:spacing w:line="232" w:lineRule="auto"/>
        <w:ind w:right="420"/>
        <w:rPr>
          <w:rFonts w:eastAsia="Arial"/>
          <w:bCs/>
          <w:sz w:val="22"/>
          <w:szCs w:val="22"/>
        </w:rPr>
      </w:pPr>
      <w:r w:rsidRPr="003C706A">
        <w:rPr>
          <w:rFonts w:eastAsia="Arial"/>
          <w:b/>
          <w:sz w:val="22"/>
          <w:szCs w:val="22"/>
        </w:rPr>
        <w:t xml:space="preserve">Long Island OSW Submittals </w:t>
      </w:r>
      <w:r w:rsidRPr="003C706A">
        <w:rPr>
          <w:rFonts w:eastAsia="Arial"/>
          <w:bCs/>
          <w:sz w:val="22"/>
          <w:szCs w:val="22"/>
        </w:rPr>
        <w:t xml:space="preserve">– The NYISO made a presentation at the March 1 TPAS/ESPWG Meeting. The projects that met the viability and sufficiency criteria were identified. In total nineteen projects/four Developers were proposed. Sixteen projects were deemed viable and sufficient. Developers must now provide notice of their intent to proceed with the evaluation of their viable and sufficient Public Policy Transmission Projects for purposes of NYISO selection of the more efficient or cost-effective project. This process will take through CY 2022 at a minimum to finalize the successful bidder. </w:t>
      </w:r>
    </w:p>
    <w:p w14:paraId="52C7C3B5" w14:textId="77777777" w:rsidR="003C706A" w:rsidRPr="003C706A" w:rsidRDefault="003C706A" w:rsidP="003C706A">
      <w:pPr>
        <w:tabs>
          <w:tab w:val="left" w:pos="720"/>
        </w:tabs>
        <w:spacing w:line="232" w:lineRule="auto"/>
        <w:ind w:left="720" w:right="420"/>
        <w:rPr>
          <w:rFonts w:eastAsia="Arial"/>
          <w:bCs/>
          <w:sz w:val="22"/>
          <w:szCs w:val="22"/>
        </w:rPr>
      </w:pPr>
    </w:p>
    <w:p w14:paraId="54ABC80D" w14:textId="274D000A" w:rsidR="003C706A" w:rsidRPr="003C706A" w:rsidRDefault="003C706A" w:rsidP="006D1302">
      <w:pPr>
        <w:tabs>
          <w:tab w:val="left" w:pos="720"/>
        </w:tabs>
        <w:spacing w:line="232" w:lineRule="auto"/>
        <w:ind w:right="420"/>
        <w:rPr>
          <w:rFonts w:eastAsia="Arial"/>
          <w:bCs/>
          <w:sz w:val="22"/>
          <w:szCs w:val="22"/>
        </w:rPr>
      </w:pPr>
      <w:r w:rsidRPr="003C706A">
        <w:rPr>
          <w:rFonts w:eastAsia="Arial"/>
          <w:b/>
          <w:sz w:val="22"/>
          <w:szCs w:val="22"/>
        </w:rPr>
        <w:t xml:space="preserve">Other Transmission </w:t>
      </w:r>
    </w:p>
    <w:p w14:paraId="08A97D78" w14:textId="54ADFC0D" w:rsidR="006D1302" w:rsidRDefault="003C706A" w:rsidP="006D1302">
      <w:pPr>
        <w:pStyle w:val="ListParagraph"/>
        <w:numPr>
          <w:ilvl w:val="0"/>
          <w:numId w:val="28"/>
        </w:numPr>
        <w:tabs>
          <w:tab w:val="left" w:pos="720"/>
        </w:tabs>
        <w:spacing w:line="232" w:lineRule="auto"/>
        <w:ind w:right="420"/>
        <w:rPr>
          <w:rFonts w:eastAsia="Arial"/>
          <w:bCs/>
          <w:sz w:val="22"/>
          <w:szCs w:val="22"/>
        </w:rPr>
      </w:pPr>
      <w:r w:rsidRPr="006D1302">
        <w:rPr>
          <w:rFonts w:eastAsia="Arial"/>
          <w:b/>
          <w:sz w:val="22"/>
          <w:szCs w:val="22"/>
        </w:rPr>
        <w:t>The WNY Empire Transmission upgrade</w:t>
      </w:r>
      <w:r w:rsidRPr="006D1302">
        <w:rPr>
          <w:rFonts w:eastAsia="Arial"/>
          <w:bCs/>
          <w:sz w:val="22"/>
          <w:szCs w:val="22"/>
        </w:rPr>
        <w:t xml:space="preserve"> will be completed by May/June 2022 which will help reduce Zone A congestion. </w:t>
      </w:r>
    </w:p>
    <w:p w14:paraId="31AB5544" w14:textId="77777777" w:rsidR="002246C1" w:rsidRDefault="002246C1" w:rsidP="002246C1">
      <w:pPr>
        <w:pStyle w:val="ListParagraph"/>
        <w:tabs>
          <w:tab w:val="left" w:pos="720"/>
        </w:tabs>
        <w:spacing w:line="232" w:lineRule="auto"/>
        <w:ind w:right="420"/>
        <w:rPr>
          <w:rFonts w:eastAsia="Arial"/>
          <w:bCs/>
          <w:sz w:val="22"/>
          <w:szCs w:val="22"/>
        </w:rPr>
      </w:pPr>
    </w:p>
    <w:p w14:paraId="20B397C9" w14:textId="14F2E3AD" w:rsidR="006D1302" w:rsidRDefault="003C706A" w:rsidP="006D1302">
      <w:pPr>
        <w:pStyle w:val="ListParagraph"/>
        <w:numPr>
          <w:ilvl w:val="0"/>
          <w:numId w:val="28"/>
        </w:numPr>
        <w:tabs>
          <w:tab w:val="left" w:pos="720"/>
        </w:tabs>
        <w:spacing w:line="232" w:lineRule="auto"/>
        <w:ind w:right="420"/>
        <w:rPr>
          <w:rFonts w:eastAsia="Arial"/>
          <w:bCs/>
          <w:sz w:val="22"/>
          <w:szCs w:val="22"/>
        </w:rPr>
      </w:pPr>
      <w:r w:rsidRPr="006D1302">
        <w:rPr>
          <w:rFonts w:eastAsia="Arial"/>
          <w:b/>
          <w:sz w:val="22"/>
          <w:szCs w:val="22"/>
        </w:rPr>
        <w:t>The Segment A &amp; B AC Transmission Public Policy Projects</w:t>
      </w:r>
      <w:r w:rsidRPr="006D1302">
        <w:rPr>
          <w:rFonts w:eastAsia="Arial"/>
          <w:bCs/>
          <w:sz w:val="22"/>
          <w:szCs w:val="22"/>
        </w:rPr>
        <w:t xml:space="preserve"> and the first phase of NYPA North Country MA1 and MA2 are not expected to be completed until the end of 2023. </w:t>
      </w:r>
    </w:p>
    <w:p w14:paraId="451532BF" w14:textId="77777777" w:rsidR="002246C1" w:rsidRDefault="002246C1" w:rsidP="002246C1">
      <w:pPr>
        <w:pStyle w:val="ListParagraph"/>
        <w:tabs>
          <w:tab w:val="left" w:pos="720"/>
        </w:tabs>
        <w:spacing w:line="232" w:lineRule="auto"/>
        <w:ind w:right="420"/>
        <w:rPr>
          <w:rFonts w:eastAsia="Arial"/>
          <w:bCs/>
          <w:sz w:val="22"/>
          <w:szCs w:val="22"/>
        </w:rPr>
      </w:pPr>
    </w:p>
    <w:p w14:paraId="03E8AD7A" w14:textId="5948AD7D" w:rsidR="006D1302" w:rsidRDefault="003C706A" w:rsidP="006D1302">
      <w:pPr>
        <w:pStyle w:val="ListParagraph"/>
        <w:numPr>
          <w:ilvl w:val="0"/>
          <w:numId w:val="28"/>
        </w:numPr>
        <w:tabs>
          <w:tab w:val="left" w:pos="720"/>
        </w:tabs>
        <w:spacing w:line="232" w:lineRule="auto"/>
        <w:ind w:right="420"/>
        <w:rPr>
          <w:rFonts w:eastAsia="Arial"/>
          <w:bCs/>
          <w:sz w:val="22"/>
          <w:szCs w:val="22"/>
        </w:rPr>
      </w:pPr>
      <w:r w:rsidRPr="006D1302">
        <w:rPr>
          <w:rFonts w:eastAsia="Arial"/>
          <w:b/>
          <w:sz w:val="22"/>
          <w:szCs w:val="22"/>
        </w:rPr>
        <w:t>NYPA/NGRID Second Phase Accelerated Transmission Project is a 2025</w:t>
      </w:r>
      <w:r w:rsidRPr="006D1302">
        <w:rPr>
          <w:rFonts w:eastAsia="Arial"/>
          <w:bCs/>
          <w:sz w:val="22"/>
          <w:szCs w:val="22"/>
        </w:rPr>
        <w:t xml:space="preserve"> expected completion date. Together, this grouping of projects will reduce upstate transmission congestion and allow more renewable generated megawatts to flow to the high-density population areas downstate. </w:t>
      </w:r>
    </w:p>
    <w:p w14:paraId="54348806" w14:textId="77777777" w:rsidR="002246C1" w:rsidRPr="002246C1" w:rsidRDefault="002246C1" w:rsidP="002246C1">
      <w:pPr>
        <w:tabs>
          <w:tab w:val="left" w:pos="720"/>
        </w:tabs>
        <w:spacing w:line="232" w:lineRule="auto"/>
        <w:ind w:right="420"/>
        <w:rPr>
          <w:rFonts w:eastAsia="Arial"/>
          <w:bCs/>
          <w:sz w:val="22"/>
          <w:szCs w:val="22"/>
        </w:rPr>
      </w:pPr>
    </w:p>
    <w:p w14:paraId="1117D560" w14:textId="18012E5A" w:rsidR="006D1302" w:rsidRDefault="003C706A" w:rsidP="006D1302">
      <w:pPr>
        <w:pStyle w:val="ListParagraph"/>
        <w:numPr>
          <w:ilvl w:val="0"/>
          <w:numId w:val="28"/>
        </w:numPr>
        <w:tabs>
          <w:tab w:val="left" w:pos="720"/>
        </w:tabs>
        <w:spacing w:line="232" w:lineRule="auto"/>
        <w:ind w:right="420"/>
        <w:rPr>
          <w:rFonts w:eastAsia="Arial"/>
          <w:bCs/>
          <w:sz w:val="22"/>
          <w:szCs w:val="22"/>
        </w:rPr>
      </w:pPr>
      <w:r w:rsidRPr="006D1302">
        <w:rPr>
          <w:rFonts w:eastAsia="Arial"/>
          <w:bCs/>
          <w:sz w:val="22"/>
          <w:szCs w:val="22"/>
        </w:rPr>
        <w:t xml:space="preserve">NYPA and National Grid filed separate applications at FERC for an Abandonment incentive for the Smart Connect Project (cost recovery if the project does not proceed), On March 11, and March 14, FERC conditionally approved the requests after noting that neither filing provided the information FERC requires to get the incentive, but it would rely on PSC findings in the Article VII cases. </w:t>
      </w:r>
    </w:p>
    <w:p w14:paraId="5EABB2C4" w14:textId="77777777" w:rsidR="002246C1" w:rsidRPr="002246C1" w:rsidRDefault="002246C1" w:rsidP="002246C1">
      <w:pPr>
        <w:pStyle w:val="ListParagraph"/>
        <w:rPr>
          <w:rFonts w:eastAsia="Arial"/>
          <w:bCs/>
          <w:sz w:val="22"/>
          <w:szCs w:val="22"/>
        </w:rPr>
      </w:pPr>
    </w:p>
    <w:p w14:paraId="0F8AE624" w14:textId="77777777" w:rsidR="002246C1" w:rsidRDefault="002246C1" w:rsidP="002246C1">
      <w:pPr>
        <w:pStyle w:val="ListParagraph"/>
        <w:tabs>
          <w:tab w:val="left" w:pos="720"/>
        </w:tabs>
        <w:spacing w:line="232" w:lineRule="auto"/>
        <w:ind w:right="420"/>
        <w:rPr>
          <w:rFonts w:eastAsia="Arial"/>
          <w:bCs/>
          <w:sz w:val="22"/>
          <w:szCs w:val="22"/>
        </w:rPr>
      </w:pPr>
    </w:p>
    <w:p w14:paraId="0355DCFE" w14:textId="77777777" w:rsidR="006D1302" w:rsidRDefault="003C706A" w:rsidP="006D1302">
      <w:pPr>
        <w:pStyle w:val="ListParagraph"/>
        <w:numPr>
          <w:ilvl w:val="1"/>
          <w:numId w:val="28"/>
        </w:numPr>
        <w:tabs>
          <w:tab w:val="left" w:pos="720"/>
        </w:tabs>
        <w:spacing w:line="232" w:lineRule="auto"/>
        <w:ind w:right="420"/>
        <w:rPr>
          <w:rFonts w:eastAsia="Arial"/>
          <w:bCs/>
          <w:sz w:val="22"/>
          <w:szCs w:val="22"/>
        </w:rPr>
      </w:pPr>
      <w:r w:rsidRPr="006D1302">
        <w:rPr>
          <w:rFonts w:eastAsia="Arial"/>
          <w:bCs/>
          <w:sz w:val="22"/>
          <w:szCs w:val="22"/>
        </w:rPr>
        <w:t xml:space="preserve">NYPA filed for additional rate incentives in early February. </w:t>
      </w:r>
    </w:p>
    <w:p w14:paraId="43CE77B7" w14:textId="77777777" w:rsidR="006D1302" w:rsidRDefault="003C706A" w:rsidP="006D1302">
      <w:pPr>
        <w:pStyle w:val="ListParagraph"/>
        <w:numPr>
          <w:ilvl w:val="1"/>
          <w:numId w:val="28"/>
        </w:numPr>
        <w:tabs>
          <w:tab w:val="left" w:pos="720"/>
        </w:tabs>
        <w:spacing w:line="232" w:lineRule="auto"/>
        <w:ind w:right="420"/>
        <w:rPr>
          <w:rFonts w:eastAsia="Arial"/>
          <w:bCs/>
          <w:sz w:val="22"/>
          <w:szCs w:val="22"/>
        </w:rPr>
      </w:pPr>
      <w:r w:rsidRPr="006D1302">
        <w:rPr>
          <w:rFonts w:eastAsia="Arial"/>
          <w:bCs/>
          <w:sz w:val="22"/>
          <w:szCs w:val="22"/>
        </w:rPr>
        <w:t>National Grid also made its companion incentive rate filing. Grid requests the following:</w:t>
      </w:r>
    </w:p>
    <w:p w14:paraId="76FBB534" w14:textId="77777777" w:rsidR="006D1302" w:rsidRDefault="003C706A" w:rsidP="006D1302">
      <w:pPr>
        <w:pStyle w:val="ListParagraph"/>
        <w:numPr>
          <w:ilvl w:val="1"/>
          <w:numId w:val="28"/>
        </w:numPr>
        <w:tabs>
          <w:tab w:val="left" w:pos="720"/>
        </w:tabs>
        <w:spacing w:line="232" w:lineRule="auto"/>
        <w:ind w:right="420"/>
        <w:rPr>
          <w:rFonts w:eastAsia="Arial"/>
          <w:bCs/>
          <w:sz w:val="22"/>
          <w:szCs w:val="22"/>
        </w:rPr>
      </w:pPr>
      <w:r w:rsidRPr="006D1302">
        <w:rPr>
          <w:rFonts w:eastAsia="Arial"/>
          <w:bCs/>
          <w:sz w:val="22"/>
          <w:szCs w:val="22"/>
        </w:rPr>
        <w:t>Allocation and collection of the costs of the Project from all New York load-serving entities on a statewide, volumetric load ratio share basis. NGRID claims this allocation is appropriate because the Project is designated as a priority transmission project that benefits consumers across New York in various ways. Some parties will argue the “beneficiary pays” approach should be followed.</w:t>
      </w:r>
    </w:p>
    <w:p w14:paraId="101F7E47" w14:textId="77777777" w:rsidR="006D1302" w:rsidRDefault="003C706A" w:rsidP="006D1302">
      <w:pPr>
        <w:pStyle w:val="ListParagraph"/>
        <w:numPr>
          <w:ilvl w:val="1"/>
          <w:numId w:val="28"/>
        </w:numPr>
        <w:tabs>
          <w:tab w:val="left" w:pos="720"/>
        </w:tabs>
        <w:spacing w:line="232" w:lineRule="auto"/>
        <w:ind w:right="420"/>
        <w:rPr>
          <w:rFonts w:eastAsia="Arial"/>
          <w:bCs/>
          <w:sz w:val="22"/>
          <w:szCs w:val="22"/>
        </w:rPr>
      </w:pPr>
      <w:r w:rsidRPr="006D1302">
        <w:rPr>
          <w:rFonts w:eastAsia="Arial"/>
          <w:bCs/>
          <w:sz w:val="22"/>
          <w:szCs w:val="22"/>
        </w:rPr>
        <w:t>Approval of a cost of capital based on a 10.5% Return on Equity (ROE). Grid claims this ROE is developed in accordance with FERC’s current ROE methodology.</w:t>
      </w:r>
    </w:p>
    <w:p w14:paraId="528460B2" w14:textId="6FE60549" w:rsidR="003C706A" w:rsidRDefault="003C706A" w:rsidP="006D1302">
      <w:pPr>
        <w:pStyle w:val="ListParagraph"/>
        <w:numPr>
          <w:ilvl w:val="1"/>
          <w:numId w:val="28"/>
        </w:numPr>
        <w:tabs>
          <w:tab w:val="left" w:pos="720"/>
        </w:tabs>
        <w:spacing w:line="232" w:lineRule="auto"/>
        <w:ind w:right="420"/>
        <w:rPr>
          <w:rFonts w:eastAsia="Arial"/>
          <w:bCs/>
          <w:sz w:val="22"/>
          <w:szCs w:val="22"/>
        </w:rPr>
      </w:pPr>
      <w:r w:rsidRPr="006D1302">
        <w:rPr>
          <w:rFonts w:eastAsia="Arial"/>
          <w:bCs/>
          <w:sz w:val="22"/>
          <w:szCs w:val="22"/>
        </w:rPr>
        <w:t>NYMPA has intervened and filed comments in this proceeding. Our major areas of consideration are</w:t>
      </w:r>
      <w:r w:rsidR="006D1302">
        <w:rPr>
          <w:rFonts w:eastAsia="Arial"/>
          <w:bCs/>
          <w:sz w:val="22"/>
          <w:szCs w:val="22"/>
        </w:rPr>
        <w:t xml:space="preserve"> </w:t>
      </w:r>
      <w:r w:rsidRPr="006D1302">
        <w:rPr>
          <w:rFonts w:eastAsia="Arial"/>
          <w:bCs/>
          <w:sz w:val="22"/>
          <w:szCs w:val="22"/>
        </w:rPr>
        <w:t xml:space="preserve">cost allocation, Return on Equity, and rate incentives. </w:t>
      </w:r>
    </w:p>
    <w:p w14:paraId="6665C385" w14:textId="77777777" w:rsidR="002246C1" w:rsidRPr="006D1302" w:rsidRDefault="002246C1" w:rsidP="002246C1">
      <w:pPr>
        <w:pStyle w:val="ListParagraph"/>
        <w:tabs>
          <w:tab w:val="left" w:pos="720"/>
        </w:tabs>
        <w:spacing w:line="232" w:lineRule="auto"/>
        <w:ind w:left="1440" w:right="420"/>
        <w:rPr>
          <w:rFonts w:eastAsia="Arial"/>
          <w:bCs/>
          <w:sz w:val="22"/>
          <w:szCs w:val="22"/>
        </w:rPr>
      </w:pPr>
    </w:p>
    <w:p w14:paraId="3B7E7E7B" w14:textId="67C95941" w:rsidR="003C706A" w:rsidRPr="006D1302" w:rsidRDefault="003C706A" w:rsidP="006D1302">
      <w:pPr>
        <w:pStyle w:val="ListParagraph"/>
        <w:numPr>
          <w:ilvl w:val="1"/>
          <w:numId w:val="28"/>
        </w:numPr>
        <w:tabs>
          <w:tab w:val="left" w:pos="720"/>
        </w:tabs>
        <w:spacing w:line="232" w:lineRule="auto"/>
        <w:ind w:left="720" w:right="420"/>
        <w:rPr>
          <w:rFonts w:eastAsia="Arial"/>
          <w:bCs/>
          <w:sz w:val="22"/>
          <w:szCs w:val="22"/>
        </w:rPr>
      </w:pPr>
      <w:r w:rsidRPr="006D1302">
        <w:rPr>
          <w:rFonts w:eastAsia="Arial"/>
          <w:b/>
          <w:sz w:val="22"/>
          <w:szCs w:val="22"/>
        </w:rPr>
        <w:t>Con Ed Peaker Rule Transmission Upgrades</w:t>
      </w:r>
      <w:r w:rsidRPr="006D1302">
        <w:rPr>
          <w:rFonts w:eastAsia="Arial"/>
          <w:bCs/>
          <w:sz w:val="22"/>
          <w:szCs w:val="22"/>
        </w:rPr>
        <w:t xml:space="preserve"> for three networks still on schedule for 2023 and 2025. </w:t>
      </w:r>
    </w:p>
    <w:p w14:paraId="7EC70B26" w14:textId="77777777" w:rsidR="003C706A" w:rsidRPr="003C706A" w:rsidRDefault="003C706A" w:rsidP="003C706A">
      <w:pPr>
        <w:tabs>
          <w:tab w:val="left" w:pos="720"/>
        </w:tabs>
        <w:spacing w:line="232" w:lineRule="auto"/>
        <w:ind w:right="420"/>
        <w:rPr>
          <w:rFonts w:eastAsia="Arial"/>
          <w:bCs/>
          <w:sz w:val="22"/>
          <w:szCs w:val="22"/>
        </w:rPr>
      </w:pPr>
      <w:bookmarkStart w:id="2" w:name="_Hlk88479647"/>
    </w:p>
    <w:p w14:paraId="3503A22C" w14:textId="77777777" w:rsidR="003C706A" w:rsidRPr="003C706A" w:rsidRDefault="003C706A" w:rsidP="003C706A">
      <w:pPr>
        <w:tabs>
          <w:tab w:val="left" w:pos="720"/>
        </w:tabs>
        <w:spacing w:line="232" w:lineRule="auto"/>
        <w:ind w:right="420"/>
        <w:rPr>
          <w:rFonts w:eastAsia="Arial"/>
          <w:bCs/>
          <w:sz w:val="22"/>
          <w:szCs w:val="22"/>
        </w:rPr>
      </w:pPr>
      <w:r w:rsidRPr="003C706A">
        <w:rPr>
          <w:rFonts w:eastAsia="Arial"/>
          <w:b/>
          <w:sz w:val="22"/>
          <w:szCs w:val="22"/>
        </w:rPr>
        <w:t>Climate Action Council Update</w:t>
      </w:r>
      <w:r w:rsidRPr="003C706A">
        <w:rPr>
          <w:rFonts w:eastAsia="Arial"/>
          <w:bCs/>
          <w:sz w:val="22"/>
          <w:szCs w:val="22"/>
        </w:rPr>
        <w:t xml:space="preserve"> – </w:t>
      </w:r>
    </w:p>
    <w:p w14:paraId="24CE2CEA" w14:textId="299D70E8" w:rsidR="002246C1" w:rsidRDefault="003C706A" w:rsidP="006D1302">
      <w:pPr>
        <w:tabs>
          <w:tab w:val="left" w:pos="720"/>
        </w:tabs>
        <w:spacing w:line="232" w:lineRule="auto"/>
        <w:ind w:right="420"/>
        <w:rPr>
          <w:rFonts w:eastAsia="Arial"/>
          <w:bCs/>
          <w:sz w:val="22"/>
          <w:szCs w:val="22"/>
        </w:rPr>
      </w:pPr>
      <w:r w:rsidRPr="003C706A">
        <w:rPr>
          <w:rFonts w:eastAsia="Arial"/>
          <w:bCs/>
          <w:sz w:val="22"/>
          <w:szCs w:val="22"/>
        </w:rPr>
        <w:t>New York State’s 22-member Climate Action Council, established under the Climate Leadership and Community Protection Act (CLCPA), will hold ten public hearings across the State to receive public input on the Draft Scoping Plan and advance work on a Final Scoping Plan to guide the implementation of the State’s nation-leading climate goals under the CLCPA. </w:t>
      </w:r>
      <w:r w:rsidRPr="003C706A">
        <w:rPr>
          <w:rFonts w:eastAsia="Arial"/>
          <w:bCs/>
          <w:sz w:val="22"/>
          <w:szCs w:val="22"/>
        </w:rPr>
        <w:br/>
      </w:r>
      <w:r w:rsidRPr="003C706A">
        <w:rPr>
          <w:rFonts w:eastAsia="Arial"/>
          <w:bCs/>
          <w:sz w:val="22"/>
          <w:szCs w:val="22"/>
        </w:rPr>
        <w:br/>
        <w:t xml:space="preserve">The Council released the Draft Scoping Plan on December 30, </w:t>
      </w:r>
      <w:proofErr w:type="gramStart"/>
      <w:r w:rsidRPr="003C706A">
        <w:rPr>
          <w:rFonts w:eastAsia="Arial"/>
          <w:bCs/>
          <w:sz w:val="22"/>
          <w:szCs w:val="22"/>
        </w:rPr>
        <w:t>2021</w:t>
      </w:r>
      <w:proofErr w:type="gramEnd"/>
      <w:r w:rsidRPr="003C706A">
        <w:rPr>
          <w:rFonts w:eastAsia="Arial"/>
          <w:bCs/>
          <w:sz w:val="22"/>
          <w:szCs w:val="22"/>
        </w:rPr>
        <w:t xml:space="preserve"> and is accepting public comments on the draft through June 10, 2022. The Council extended the comment period beyond 120 days to allow for additional public input. </w:t>
      </w:r>
      <w:r w:rsidRPr="003C706A">
        <w:rPr>
          <w:rFonts w:eastAsia="Arial"/>
          <w:bCs/>
          <w:sz w:val="22"/>
          <w:szCs w:val="22"/>
        </w:rPr>
        <w:br/>
      </w:r>
      <w:r w:rsidRPr="003C706A">
        <w:rPr>
          <w:rFonts w:eastAsia="Arial"/>
          <w:bCs/>
          <w:sz w:val="22"/>
          <w:szCs w:val="22"/>
        </w:rPr>
        <w:br/>
        <w:t>Co-Chairs of the Climate Action Council announced eight in-person hearings in locations across the State, as well as two virtual hearings. In-person hearings will also be live-streamed to allow for remote viewing of the proceedings. All persons, organizations, corporations, and government agencies are encouraged to attend the public hearings and to submit oral or written comments. MEUA will present comments at the April 26 Syracuse Meeting, and possibly the May 10</w:t>
      </w:r>
      <w:r w:rsidRPr="003C706A">
        <w:rPr>
          <w:rFonts w:eastAsia="Arial"/>
          <w:bCs/>
          <w:sz w:val="22"/>
          <w:szCs w:val="22"/>
          <w:vertAlign w:val="superscript"/>
        </w:rPr>
        <w:t>th</w:t>
      </w:r>
      <w:r w:rsidRPr="003C706A">
        <w:rPr>
          <w:rFonts w:eastAsia="Arial"/>
          <w:bCs/>
          <w:sz w:val="22"/>
          <w:szCs w:val="22"/>
        </w:rPr>
        <w:t xml:space="preserve"> Tupper Lake Meeting. In addition, we are considering joint comments as part of our involvement in the Utilities Consultation Group (UCG); a group we have collaborated with throughout the Climate Action Council process. </w:t>
      </w:r>
    </w:p>
    <w:p w14:paraId="6BBB65AB" w14:textId="77777777" w:rsidR="002246C1" w:rsidRDefault="002246C1" w:rsidP="006D1302">
      <w:pPr>
        <w:tabs>
          <w:tab w:val="left" w:pos="720"/>
        </w:tabs>
        <w:spacing w:line="232" w:lineRule="auto"/>
        <w:ind w:right="420"/>
        <w:rPr>
          <w:rFonts w:eastAsia="Arial"/>
          <w:bCs/>
          <w:sz w:val="22"/>
          <w:szCs w:val="22"/>
        </w:rPr>
      </w:pPr>
    </w:p>
    <w:p w14:paraId="7C86A67D" w14:textId="77777777" w:rsidR="002246C1" w:rsidRDefault="002246C1" w:rsidP="006D1302">
      <w:pPr>
        <w:tabs>
          <w:tab w:val="left" w:pos="720"/>
        </w:tabs>
        <w:spacing w:line="232" w:lineRule="auto"/>
        <w:ind w:right="420"/>
        <w:rPr>
          <w:rFonts w:eastAsia="Arial"/>
          <w:bCs/>
          <w:sz w:val="22"/>
          <w:szCs w:val="22"/>
        </w:rPr>
      </w:pPr>
    </w:p>
    <w:p w14:paraId="64BD4D2F" w14:textId="2CECEA41" w:rsidR="007034A1" w:rsidRDefault="007034A1" w:rsidP="006D1302">
      <w:pPr>
        <w:tabs>
          <w:tab w:val="left" w:pos="720"/>
        </w:tabs>
        <w:spacing w:line="232" w:lineRule="auto"/>
        <w:ind w:right="420"/>
        <w:rPr>
          <w:rFonts w:eastAsia="Arial"/>
          <w:bCs/>
          <w:sz w:val="22"/>
          <w:szCs w:val="22"/>
        </w:rPr>
        <w:sectPr w:rsidR="007034A1" w:rsidSect="005807A7">
          <w:pgSz w:w="12240" w:h="15840"/>
          <w:pgMar w:top="720" w:right="720" w:bottom="720" w:left="720" w:header="720" w:footer="720" w:gutter="0"/>
          <w:cols w:num="2" w:space="720" w:equalWidth="0">
            <w:col w:w="5040" w:space="720"/>
            <w:col w:w="5040"/>
          </w:cols>
          <w:docGrid w:linePitch="360"/>
        </w:sectPr>
      </w:pPr>
    </w:p>
    <w:p w14:paraId="67714514" w14:textId="215169F7" w:rsidR="003C706A" w:rsidRPr="003C706A" w:rsidRDefault="003C706A" w:rsidP="006D1302">
      <w:pPr>
        <w:tabs>
          <w:tab w:val="left" w:pos="720"/>
        </w:tabs>
        <w:spacing w:line="232" w:lineRule="auto"/>
        <w:ind w:left="720" w:right="420"/>
        <w:rPr>
          <w:rFonts w:eastAsia="Arial"/>
          <w:bCs/>
          <w:sz w:val="22"/>
          <w:szCs w:val="22"/>
        </w:rPr>
      </w:pPr>
      <w:r w:rsidRPr="003C706A">
        <w:rPr>
          <w:rFonts w:eastAsia="Arial"/>
          <w:bCs/>
          <w:sz w:val="22"/>
          <w:szCs w:val="22"/>
        </w:rPr>
        <w:t> </w:t>
      </w:r>
    </w:p>
    <w:tbl>
      <w:tblPr>
        <w:tblW w:w="10800" w:type="dxa"/>
        <w:tblInd w:w="350" w:type="dxa"/>
        <w:shd w:val="clear" w:color="auto" w:fill="FFFFFF"/>
        <w:tblLayout w:type="fixed"/>
        <w:tblCellMar>
          <w:left w:w="0" w:type="dxa"/>
          <w:right w:w="0" w:type="dxa"/>
        </w:tblCellMar>
        <w:tblLook w:val="04A0" w:firstRow="1" w:lastRow="0" w:firstColumn="1" w:lastColumn="0" w:noHBand="0" w:noVBand="1"/>
      </w:tblPr>
      <w:tblGrid>
        <w:gridCol w:w="2880"/>
        <w:gridCol w:w="1350"/>
        <w:gridCol w:w="1800"/>
        <w:gridCol w:w="4770"/>
      </w:tblGrid>
      <w:tr w:rsidR="007034A1" w:rsidRPr="003C706A" w14:paraId="6BAAFFA7" w14:textId="77777777" w:rsidTr="002246C1">
        <w:trPr>
          <w:trHeight w:val="385"/>
        </w:trPr>
        <w:tc>
          <w:tcPr>
            <w:tcW w:w="2880" w:type="dxa"/>
            <w:tcBorders>
              <w:top w:val="single" w:sz="8" w:space="0" w:color="000000"/>
              <w:left w:val="single" w:sz="8" w:space="0" w:color="000000"/>
              <w:bottom w:val="single" w:sz="8" w:space="0" w:color="000000"/>
              <w:right w:val="single" w:sz="8" w:space="0" w:color="000000"/>
            </w:tcBorders>
            <w:shd w:val="clear" w:color="auto" w:fill="FFFFFF"/>
            <w:hideMark/>
          </w:tcPr>
          <w:p w14:paraId="7F73FAF6" w14:textId="4B5AEE1D" w:rsidR="003C706A" w:rsidRPr="007034A1" w:rsidRDefault="003C706A" w:rsidP="002246C1">
            <w:pPr>
              <w:tabs>
                <w:tab w:val="left" w:pos="720"/>
              </w:tabs>
              <w:spacing w:line="232" w:lineRule="auto"/>
              <w:ind w:right="420"/>
              <w:jc w:val="center"/>
              <w:rPr>
                <w:rFonts w:eastAsia="Arial"/>
                <w:b/>
                <w:sz w:val="20"/>
                <w:szCs w:val="20"/>
              </w:rPr>
            </w:pPr>
            <w:r w:rsidRPr="007034A1">
              <w:rPr>
                <w:rFonts w:eastAsia="Arial"/>
                <w:b/>
                <w:sz w:val="20"/>
                <w:szCs w:val="20"/>
              </w:rPr>
              <w:t>Date </w:t>
            </w:r>
          </w:p>
        </w:tc>
        <w:tc>
          <w:tcPr>
            <w:tcW w:w="1350" w:type="dxa"/>
            <w:tcBorders>
              <w:top w:val="single" w:sz="8" w:space="0" w:color="000000"/>
              <w:left w:val="nil"/>
              <w:bottom w:val="single" w:sz="8" w:space="0" w:color="000000"/>
              <w:right w:val="single" w:sz="8" w:space="0" w:color="000000"/>
            </w:tcBorders>
            <w:shd w:val="clear" w:color="auto" w:fill="FFFFFF"/>
            <w:hideMark/>
          </w:tcPr>
          <w:p w14:paraId="1F6FA262" w14:textId="7A6DB003" w:rsidR="003C706A" w:rsidRPr="007034A1" w:rsidRDefault="003C706A" w:rsidP="002246C1">
            <w:pPr>
              <w:tabs>
                <w:tab w:val="left" w:pos="720"/>
              </w:tabs>
              <w:spacing w:line="232" w:lineRule="auto"/>
              <w:ind w:right="420"/>
              <w:jc w:val="center"/>
              <w:rPr>
                <w:rFonts w:eastAsia="Arial"/>
                <w:b/>
                <w:sz w:val="20"/>
                <w:szCs w:val="20"/>
              </w:rPr>
            </w:pPr>
            <w:r w:rsidRPr="007034A1">
              <w:rPr>
                <w:rFonts w:eastAsia="Arial"/>
                <w:b/>
                <w:sz w:val="20"/>
                <w:szCs w:val="20"/>
              </w:rPr>
              <w:t>Time  </w:t>
            </w:r>
            <w:r w:rsidRPr="007034A1">
              <w:rPr>
                <w:rFonts w:eastAsia="Arial"/>
                <w:b/>
                <w:sz w:val="20"/>
                <w:szCs w:val="20"/>
              </w:rPr>
              <w:br/>
            </w:r>
          </w:p>
        </w:tc>
        <w:tc>
          <w:tcPr>
            <w:tcW w:w="1800" w:type="dxa"/>
            <w:tcBorders>
              <w:top w:val="single" w:sz="8" w:space="0" w:color="000000"/>
              <w:left w:val="nil"/>
              <w:bottom w:val="single" w:sz="8" w:space="0" w:color="000000"/>
              <w:right w:val="single" w:sz="8" w:space="0" w:color="000000"/>
            </w:tcBorders>
            <w:shd w:val="clear" w:color="auto" w:fill="FFFFFF"/>
            <w:hideMark/>
          </w:tcPr>
          <w:p w14:paraId="18B55C8D" w14:textId="5D066F5B" w:rsidR="003C706A" w:rsidRPr="007034A1" w:rsidRDefault="003C706A" w:rsidP="002246C1">
            <w:pPr>
              <w:tabs>
                <w:tab w:val="left" w:pos="720"/>
              </w:tabs>
              <w:spacing w:line="232" w:lineRule="auto"/>
              <w:ind w:right="420"/>
              <w:jc w:val="center"/>
              <w:rPr>
                <w:rFonts w:eastAsia="Arial"/>
                <w:b/>
                <w:sz w:val="20"/>
                <w:szCs w:val="20"/>
              </w:rPr>
            </w:pPr>
            <w:r w:rsidRPr="007034A1">
              <w:rPr>
                <w:rFonts w:eastAsia="Arial"/>
                <w:b/>
                <w:sz w:val="20"/>
                <w:szCs w:val="20"/>
              </w:rPr>
              <w:t>Location  </w:t>
            </w:r>
            <w:r w:rsidRPr="007034A1">
              <w:rPr>
                <w:rFonts w:eastAsia="Arial"/>
                <w:b/>
                <w:sz w:val="20"/>
                <w:szCs w:val="20"/>
              </w:rPr>
              <w:br/>
            </w:r>
          </w:p>
        </w:tc>
        <w:tc>
          <w:tcPr>
            <w:tcW w:w="4770" w:type="dxa"/>
            <w:tcBorders>
              <w:top w:val="single" w:sz="8" w:space="0" w:color="000000"/>
              <w:left w:val="nil"/>
              <w:bottom w:val="single" w:sz="8" w:space="0" w:color="000000"/>
              <w:right w:val="single" w:sz="8" w:space="0" w:color="000000"/>
            </w:tcBorders>
            <w:shd w:val="clear" w:color="auto" w:fill="FFFFFF"/>
            <w:hideMark/>
          </w:tcPr>
          <w:p w14:paraId="00AC43A0" w14:textId="5AEAD118" w:rsidR="003C706A" w:rsidRPr="007034A1" w:rsidRDefault="003C706A" w:rsidP="002246C1">
            <w:pPr>
              <w:tabs>
                <w:tab w:val="left" w:pos="720"/>
              </w:tabs>
              <w:spacing w:line="232" w:lineRule="auto"/>
              <w:ind w:right="420"/>
              <w:jc w:val="center"/>
              <w:rPr>
                <w:rFonts w:eastAsia="Arial"/>
                <w:b/>
                <w:sz w:val="20"/>
                <w:szCs w:val="20"/>
              </w:rPr>
            </w:pPr>
            <w:r w:rsidRPr="007034A1">
              <w:rPr>
                <w:rFonts w:eastAsia="Arial"/>
                <w:b/>
                <w:sz w:val="20"/>
                <w:szCs w:val="20"/>
              </w:rPr>
              <w:t>Venue  </w:t>
            </w:r>
            <w:r w:rsidRPr="007034A1">
              <w:rPr>
                <w:rFonts w:eastAsia="Arial"/>
                <w:b/>
                <w:sz w:val="20"/>
                <w:szCs w:val="20"/>
              </w:rPr>
              <w:br/>
            </w:r>
          </w:p>
        </w:tc>
      </w:tr>
      <w:tr w:rsidR="007034A1" w:rsidRPr="003C706A" w14:paraId="2E474EFA" w14:textId="77777777" w:rsidTr="002246C1">
        <w:trPr>
          <w:trHeight w:val="1168"/>
        </w:trPr>
        <w:tc>
          <w:tcPr>
            <w:tcW w:w="2880" w:type="dxa"/>
            <w:tcBorders>
              <w:top w:val="nil"/>
              <w:left w:val="single" w:sz="8" w:space="0" w:color="000000"/>
              <w:bottom w:val="single" w:sz="8" w:space="0" w:color="000000"/>
              <w:right w:val="single" w:sz="8" w:space="0" w:color="000000"/>
            </w:tcBorders>
            <w:shd w:val="clear" w:color="auto" w:fill="FFFFFF"/>
            <w:hideMark/>
          </w:tcPr>
          <w:p w14:paraId="1A1EA228" w14:textId="4502D04F" w:rsidR="003C706A" w:rsidRPr="007034A1" w:rsidRDefault="003C706A">
            <w:pPr>
              <w:tabs>
                <w:tab w:val="left" w:pos="720"/>
              </w:tabs>
              <w:spacing w:line="232" w:lineRule="auto"/>
              <w:ind w:right="420"/>
              <w:rPr>
                <w:rFonts w:eastAsia="Arial"/>
                <w:b/>
                <w:sz w:val="20"/>
                <w:szCs w:val="20"/>
              </w:rPr>
            </w:pPr>
            <w:r w:rsidRPr="007034A1">
              <w:rPr>
                <w:rFonts w:eastAsia="Arial"/>
                <w:b/>
                <w:sz w:val="20"/>
                <w:szCs w:val="20"/>
              </w:rPr>
              <w:t>Tuesday, April 5, 2022</w:t>
            </w:r>
            <w:r w:rsidRPr="007034A1">
              <w:rPr>
                <w:rFonts w:eastAsia="Arial"/>
                <w:b/>
                <w:sz w:val="20"/>
                <w:szCs w:val="20"/>
              </w:rPr>
              <w:br/>
              <w:t> </w:t>
            </w:r>
          </w:p>
        </w:tc>
        <w:tc>
          <w:tcPr>
            <w:tcW w:w="1350" w:type="dxa"/>
            <w:tcBorders>
              <w:top w:val="nil"/>
              <w:left w:val="nil"/>
              <w:bottom w:val="single" w:sz="8" w:space="0" w:color="000000"/>
              <w:right w:val="single" w:sz="8" w:space="0" w:color="000000"/>
            </w:tcBorders>
            <w:shd w:val="clear" w:color="auto" w:fill="FFFFFF"/>
            <w:hideMark/>
          </w:tcPr>
          <w:p w14:paraId="243F9A8C" w14:textId="77777777"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4:00 PM  </w:t>
            </w:r>
            <w:r w:rsidRPr="007034A1">
              <w:rPr>
                <w:rFonts w:eastAsia="Arial"/>
                <w:bCs/>
                <w:sz w:val="20"/>
                <w:szCs w:val="20"/>
              </w:rPr>
              <w:br/>
              <w:t> </w:t>
            </w:r>
          </w:p>
        </w:tc>
        <w:tc>
          <w:tcPr>
            <w:tcW w:w="1800" w:type="dxa"/>
            <w:tcBorders>
              <w:top w:val="nil"/>
              <w:left w:val="nil"/>
              <w:bottom w:val="single" w:sz="8" w:space="0" w:color="000000"/>
              <w:right w:val="single" w:sz="8" w:space="0" w:color="000000"/>
            </w:tcBorders>
            <w:shd w:val="clear" w:color="auto" w:fill="FFFFFF"/>
            <w:hideMark/>
          </w:tcPr>
          <w:p w14:paraId="3718A14F" w14:textId="77777777"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Bronx  </w:t>
            </w:r>
            <w:r w:rsidRPr="007034A1">
              <w:rPr>
                <w:rFonts w:eastAsia="Arial"/>
                <w:bCs/>
                <w:sz w:val="20"/>
                <w:szCs w:val="20"/>
              </w:rPr>
              <w:br/>
              <w:t> </w:t>
            </w:r>
          </w:p>
        </w:tc>
        <w:tc>
          <w:tcPr>
            <w:tcW w:w="4770" w:type="dxa"/>
            <w:tcBorders>
              <w:top w:val="nil"/>
              <w:left w:val="nil"/>
              <w:bottom w:val="single" w:sz="8" w:space="0" w:color="000000"/>
              <w:right w:val="single" w:sz="8" w:space="0" w:color="000000"/>
            </w:tcBorders>
            <w:shd w:val="clear" w:color="auto" w:fill="FFFFFF"/>
            <w:hideMark/>
          </w:tcPr>
          <w:p w14:paraId="46F1333C" w14:textId="77777777"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Bronx Community College  </w:t>
            </w:r>
            <w:r w:rsidRPr="007034A1">
              <w:rPr>
                <w:rFonts w:eastAsia="Arial"/>
                <w:bCs/>
                <w:sz w:val="20"/>
                <w:szCs w:val="20"/>
              </w:rPr>
              <w:br/>
              <w:t>Roscoe Brown Student Center  </w:t>
            </w:r>
            <w:r w:rsidRPr="007034A1">
              <w:rPr>
                <w:rFonts w:eastAsia="Arial"/>
                <w:bCs/>
                <w:sz w:val="20"/>
                <w:szCs w:val="20"/>
              </w:rPr>
              <w:br/>
              <w:t>Hall of Fame Playhouse  </w:t>
            </w:r>
            <w:r w:rsidRPr="007034A1">
              <w:rPr>
                <w:rFonts w:eastAsia="Arial"/>
                <w:bCs/>
                <w:sz w:val="20"/>
                <w:szCs w:val="20"/>
              </w:rPr>
              <w:br/>
              <w:t>2155 University Avenue  </w:t>
            </w:r>
            <w:r w:rsidRPr="007034A1">
              <w:rPr>
                <w:rFonts w:eastAsia="Arial"/>
                <w:bCs/>
                <w:sz w:val="20"/>
                <w:szCs w:val="20"/>
              </w:rPr>
              <w:br/>
              <w:t>Bronx, NY 10453  </w:t>
            </w:r>
            <w:r w:rsidRPr="007034A1">
              <w:rPr>
                <w:rFonts w:eastAsia="Arial"/>
                <w:bCs/>
                <w:sz w:val="20"/>
                <w:szCs w:val="20"/>
              </w:rPr>
              <w:br/>
              <w:t> </w:t>
            </w:r>
          </w:p>
        </w:tc>
      </w:tr>
      <w:tr w:rsidR="007034A1" w:rsidRPr="003C706A" w14:paraId="3AF4E2A6" w14:textId="77777777" w:rsidTr="002246C1">
        <w:trPr>
          <w:trHeight w:val="853"/>
        </w:trPr>
        <w:tc>
          <w:tcPr>
            <w:tcW w:w="2880" w:type="dxa"/>
            <w:tcBorders>
              <w:top w:val="nil"/>
              <w:left w:val="single" w:sz="8" w:space="0" w:color="000000"/>
              <w:bottom w:val="single" w:sz="4" w:space="0" w:color="auto"/>
              <w:right w:val="single" w:sz="8" w:space="0" w:color="000000"/>
            </w:tcBorders>
            <w:shd w:val="clear" w:color="auto" w:fill="FFFFFF"/>
            <w:hideMark/>
          </w:tcPr>
          <w:p w14:paraId="00AD9FEC" w14:textId="3CF7FF4A" w:rsidR="003C706A" w:rsidRPr="007034A1" w:rsidRDefault="003C706A">
            <w:pPr>
              <w:tabs>
                <w:tab w:val="left" w:pos="720"/>
              </w:tabs>
              <w:spacing w:line="232" w:lineRule="auto"/>
              <w:ind w:right="420"/>
              <w:rPr>
                <w:rFonts w:eastAsia="Arial"/>
                <w:b/>
                <w:sz w:val="20"/>
                <w:szCs w:val="20"/>
              </w:rPr>
            </w:pPr>
            <w:r w:rsidRPr="007034A1">
              <w:rPr>
                <w:rFonts w:eastAsia="Arial"/>
                <w:b/>
                <w:sz w:val="20"/>
                <w:szCs w:val="20"/>
              </w:rPr>
              <w:t>Wednesday, April 6, 2022</w:t>
            </w:r>
            <w:r w:rsidRPr="007034A1">
              <w:rPr>
                <w:rFonts w:eastAsia="Arial"/>
                <w:b/>
                <w:sz w:val="20"/>
                <w:szCs w:val="20"/>
              </w:rPr>
              <w:br/>
              <w:t> </w:t>
            </w:r>
          </w:p>
        </w:tc>
        <w:tc>
          <w:tcPr>
            <w:tcW w:w="1350" w:type="dxa"/>
            <w:tcBorders>
              <w:top w:val="nil"/>
              <w:left w:val="nil"/>
              <w:bottom w:val="single" w:sz="4" w:space="0" w:color="auto"/>
              <w:right w:val="single" w:sz="8" w:space="0" w:color="000000"/>
            </w:tcBorders>
            <w:shd w:val="clear" w:color="auto" w:fill="FFFFFF"/>
            <w:hideMark/>
          </w:tcPr>
          <w:p w14:paraId="1FDCBEB5" w14:textId="77777777"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4:00 PM  </w:t>
            </w:r>
            <w:r w:rsidRPr="007034A1">
              <w:rPr>
                <w:rFonts w:eastAsia="Arial"/>
                <w:bCs/>
                <w:sz w:val="20"/>
                <w:szCs w:val="20"/>
              </w:rPr>
              <w:br/>
              <w:t> </w:t>
            </w:r>
          </w:p>
        </w:tc>
        <w:tc>
          <w:tcPr>
            <w:tcW w:w="1800" w:type="dxa"/>
            <w:tcBorders>
              <w:top w:val="nil"/>
              <w:left w:val="nil"/>
              <w:bottom w:val="single" w:sz="4" w:space="0" w:color="auto"/>
              <w:right w:val="single" w:sz="8" w:space="0" w:color="000000"/>
            </w:tcBorders>
            <w:shd w:val="clear" w:color="auto" w:fill="FFFFFF"/>
            <w:hideMark/>
          </w:tcPr>
          <w:p w14:paraId="728CF267" w14:textId="77777777"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Brookhaven  </w:t>
            </w:r>
            <w:r w:rsidRPr="007034A1">
              <w:rPr>
                <w:rFonts w:eastAsia="Arial"/>
                <w:bCs/>
                <w:sz w:val="20"/>
                <w:szCs w:val="20"/>
              </w:rPr>
              <w:br/>
              <w:t> </w:t>
            </w:r>
          </w:p>
        </w:tc>
        <w:tc>
          <w:tcPr>
            <w:tcW w:w="4770" w:type="dxa"/>
            <w:tcBorders>
              <w:top w:val="nil"/>
              <w:left w:val="nil"/>
              <w:bottom w:val="single" w:sz="4" w:space="0" w:color="auto"/>
              <w:right w:val="single" w:sz="8" w:space="0" w:color="000000"/>
            </w:tcBorders>
            <w:shd w:val="clear" w:color="auto" w:fill="FFFFFF"/>
            <w:hideMark/>
          </w:tcPr>
          <w:p w14:paraId="243C5E28" w14:textId="44C853A3"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Brookhaven Town Hall  </w:t>
            </w:r>
            <w:r w:rsidRPr="007034A1">
              <w:rPr>
                <w:rFonts w:eastAsia="Arial"/>
                <w:bCs/>
                <w:sz w:val="20"/>
                <w:szCs w:val="20"/>
              </w:rPr>
              <w:br/>
              <w:t>1 Independence Hill  </w:t>
            </w:r>
            <w:r w:rsidRPr="007034A1">
              <w:rPr>
                <w:rFonts w:eastAsia="Arial"/>
                <w:bCs/>
                <w:sz w:val="20"/>
                <w:szCs w:val="20"/>
              </w:rPr>
              <w:br/>
              <w:t>Farmingville, NY 11738  </w:t>
            </w:r>
          </w:p>
        </w:tc>
      </w:tr>
      <w:tr w:rsidR="007034A1" w:rsidRPr="003C706A" w14:paraId="3CBE8392" w14:textId="77777777" w:rsidTr="002246C1">
        <w:trPr>
          <w:trHeight w:val="898"/>
        </w:trPr>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5FA7C408" w14:textId="61507565" w:rsidR="003C706A" w:rsidRPr="007034A1" w:rsidRDefault="003C706A">
            <w:pPr>
              <w:tabs>
                <w:tab w:val="left" w:pos="720"/>
              </w:tabs>
              <w:spacing w:line="232" w:lineRule="auto"/>
              <w:ind w:right="420"/>
              <w:rPr>
                <w:rFonts w:eastAsia="Arial"/>
                <w:b/>
                <w:sz w:val="20"/>
                <w:szCs w:val="20"/>
              </w:rPr>
            </w:pPr>
            <w:r w:rsidRPr="007034A1">
              <w:rPr>
                <w:rFonts w:eastAsia="Arial"/>
                <w:b/>
                <w:sz w:val="20"/>
                <w:szCs w:val="20"/>
              </w:rPr>
              <w:t>Tuesday, April 12, 2022</w:t>
            </w:r>
            <w:r w:rsidRPr="007034A1">
              <w:rPr>
                <w:rFonts w:eastAsia="Arial"/>
                <w:b/>
                <w:sz w:val="20"/>
                <w:szCs w:val="20"/>
              </w:rPr>
              <w:br/>
              <w:t> </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42185CEB" w14:textId="77777777"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4:00 PM  </w:t>
            </w:r>
            <w:r w:rsidRPr="007034A1">
              <w:rPr>
                <w:rFonts w:eastAsia="Arial"/>
                <w:bCs/>
                <w:sz w:val="20"/>
                <w:szCs w:val="20"/>
              </w:rPr>
              <w:br/>
              <w:t> </w:t>
            </w:r>
          </w:p>
        </w:tc>
        <w:tc>
          <w:tcPr>
            <w:tcW w:w="1800" w:type="dxa"/>
            <w:tcBorders>
              <w:top w:val="single" w:sz="4" w:space="0" w:color="auto"/>
              <w:left w:val="single" w:sz="4" w:space="0" w:color="auto"/>
              <w:bottom w:val="single" w:sz="4" w:space="0" w:color="auto"/>
              <w:right w:val="single" w:sz="4" w:space="0" w:color="auto"/>
            </w:tcBorders>
            <w:shd w:val="clear" w:color="auto" w:fill="FFFFFF"/>
            <w:hideMark/>
          </w:tcPr>
          <w:p w14:paraId="3BB1806F" w14:textId="77777777"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Binghamton  </w:t>
            </w:r>
            <w:r w:rsidRPr="007034A1">
              <w:rPr>
                <w:rFonts w:eastAsia="Arial"/>
                <w:bCs/>
                <w:sz w:val="20"/>
                <w:szCs w:val="20"/>
              </w:rPr>
              <w:br/>
              <w:t> </w:t>
            </w:r>
          </w:p>
        </w:tc>
        <w:tc>
          <w:tcPr>
            <w:tcW w:w="4770" w:type="dxa"/>
            <w:tcBorders>
              <w:top w:val="single" w:sz="4" w:space="0" w:color="auto"/>
              <w:left w:val="single" w:sz="4" w:space="0" w:color="auto"/>
              <w:bottom w:val="single" w:sz="4" w:space="0" w:color="auto"/>
              <w:right w:val="single" w:sz="4" w:space="0" w:color="auto"/>
            </w:tcBorders>
            <w:shd w:val="clear" w:color="auto" w:fill="FFFFFF"/>
            <w:hideMark/>
          </w:tcPr>
          <w:p w14:paraId="2398ECBB" w14:textId="77777777"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Binghamton University  </w:t>
            </w:r>
            <w:r w:rsidRPr="007034A1">
              <w:rPr>
                <w:rFonts w:eastAsia="Arial"/>
                <w:bCs/>
                <w:sz w:val="20"/>
                <w:szCs w:val="20"/>
              </w:rPr>
              <w:br/>
              <w:t>Symposium Hall </w:t>
            </w:r>
            <w:r w:rsidRPr="007034A1">
              <w:rPr>
                <w:rFonts w:eastAsia="Arial"/>
                <w:bCs/>
                <w:sz w:val="20"/>
                <w:szCs w:val="20"/>
              </w:rPr>
              <w:br/>
              <w:t>85 Murray Hill Road </w:t>
            </w:r>
            <w:r w:rsidRPr="007034A1">
              <w:rPr>
                <w:rFonts w:eastAsia="Arial"/>
                <w:bCs/>
                <w:sz w:val="20"/>
                <w:szCs w:val="20"/>
              </w:rPr>
              <w:br/>
              <w:t>Vestal, NY 13850 </w:t>
            </w:r>
            <w:r w:rsidRPr="007034A1">
              <w:rPr>
                <w:rFonts w:eastAsia="Arial"/>
                <w:bCs/>
                <w:sz w:val="20"/>
                <w:szCs w:val="20"/>
              </w:rPr>
              <w:br/>
              <w:t> </w:t>
            </w:r>
          </w:p>
        </w:tc>
      </w:tr>
      <w:tr w:rsidR="007034A1" w:rsidRPr="003C706A" w14:paraId="3E51FC76" w14:textId="77777777" w:rsidTr="002246C1">
        <w:trPr>
          <w:trHeight w:val="655"/>
        </w:trPr>
        <w:tc>
          <w:tcPr>
            <w:tcW w:w="2880" w:type="dxa"/>
            <w:tcBorders>
              <w:top w:val="single" w:sz="4" w:space="0" w:color="auto"/>
              <w:left w:val="single" w:sz="8" w:space="0" w:color="000000"/>
              <w:bottom w:val="single" w:sz="8" w:space="0" w:color="000000"/>
              <w:right w:val="single" w:sz="8" w:space="0" w:color="000000"/>
            </w:tcBorders>
            <w:shd w:val="clear" w:color="auto" w:fill="FFFFFF"/>
            <w:hideMark/>
          </w:tcPr>
          <w:p w14:paraId="73CA565F" w14:textId="1E701BF0" w:rsidR="003C706A" w:rsidRPr="007034A1" w:rsidRDefault="003C706A">
            <w:pPr>
              <w:tabs>
                <w:tab w:val="left" w:pos="720"/>
              </w:tabs>
              <w:spacing w:line="232" w:lineRule="auto"/>
              <w:ind w:right="420"/>
              <w:rPr>
                <w:rFonts w:eastAsia="Arial"/>
                <w:b/>
                <w:sz w:val="20"/>
                <w:szCs w:val="20"/>
              </w:rPr>
            </w:pPr>
            <w:r w:rsidRPr="007034A1">
              <w:rPr>
                <w:rFonts w:eastAsia="Arial"/>
                <w:b/>
                <w:sz w:val="20"/>
                <w:szCs w:val="20"/>
              </w:rPr>
              <w:t>Thursday, April 14, 2022</w:t>
            </w:r>
            <w:r w:rsidRPr="007034A1">
              <w:rPr>
                <w:rFonts w:eastAsia="Arial"/>
                <w:b/>
                <w:sz w:val="20"/>
                <w:szCs w:val="20"/>
              </w:rPr>
              <w:br/>
              <w:t> </w:t>
            </w:r>
          </w:p>
        </w:tc>
        <w:tc>
          <w:tcPr>
            <w:tcW w:w="1350" w:type="dxa"/>
            <w:tcBorders>
              <w:top w:val="single" w:sz="4" w:space="0" w:color="auto"/>
              <w:left w:val="nil"/>
              <w:bottom w:val="single" w:sz="8" w:space="0" w:color="000000"/>
              <w:right w:val="single" w:sz="8" w:space="0" w:color="000000"/>
            </w:tcBorders>
            <w:shd w:val="clear" w:color="auto" w:fill="FFFFFF"/>
            <w:hideMark/>
          </w:tcPr>
          <w:p w14:paraId="34606EA7" w14:textId="77777777"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4:00 PM  </w:t>
            </w:r>
            <w:r w:rsidRPr="007034A1">
              <w:rPr>
                <w:rFonts w:eastAsia="Arial"/>
                <w:bCs/>
                <w:sz w:val="20"/>
                <w:szCs w:val="20"/>
              </w:rPr>
              <w:br/>
              <w:t> </w:t>
            </w:r>
          </w:p>
        </w:tc>
        <w:tc>
          <w:tcPr>
            <w:tcW w:w="1800" w:type="dxa"/>
            <w:tcBorders>
              <w:top w:val="single" w:sz="4" w:space="0" w:color="auto"/>
              <w:left w:val="nil"/>
              <w:bottom w:val="single" w:sz="8" w:space="0" w:color="000000"/>
              <w:right w:val="single" w:sz="8" w:space="0" w:color="000000"/>
            </w:tcBorders>
            <w:shd w:val="clear" w:color="auto" w:fill="FFFFFF"/>
            <w:hideMark/>
          </w:tcPr>
          <w:p w14:paraId="7281C51F" w14:textId="77777777"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Albany  </w:t>
            </w:r>
            <w:r w:rsidRPr="007034A1">
              <w:rPr>
                <w:rFonts w:eastAsia="Arial"/>
                <w:bCs/>
                <w:sz w:val="20"/>
                <w:szCs w:val="20"/>
              </w:rPr>
              <w:br/>
              <w:t> </w:t>
            </w:r>
          </w:p>
        </w:tc>
        <w:tc>
          <w:tcPr>
            <w:tcW w:w="4770" w:type="dxa"/>
            <w:tcBorders>
              <w:top w:val="single" w:sz="4" w:space="0" w:color="auto"/>
              <w:left w:val="nil"/>
              <w:bottom w:val="single" w:sz="8" w:space="0" w:color="000000"/>
              <w:right w:val="single" w:sz="8" w:space="0" w:color="000000"/>
            </w:tcBorders>
            <w:shd w:val="clear" w:color="auto" w:fill="FFFFFF"/>
            <w:hideMark/>
          </w:tcPr>
          <w:p w14:paraId="777428E6" w14:textId="77777777"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Empire State Plaza </w:t>
            </w:r>
            <w:r w:rsidRPr="007034A1">
              <w:rPr>
                <w:rFonts w:eastAsia="Arial"/>
                <w:bCs/>
                <w:sz w:val="20"/>
                <w:szCs w:val="20"/>
              </w:rPr>
              <w:br/>
              <w:t>Meeting Room 6  </w:t>
            </w:r>
            <w:r w:rsidRPr="007034A1">
              <w:rPr>
                <w:rFonts w:eastAsia="Arial"/>
                <w:bCs/>
                <w:sz w:val="20"/>
                <w:szCs w:val="20"/>
              </w:rPr>
              <w:br/>
              <w:t>Albany, NY 12242 </w:t>
            </w:r>
            <w:r w:rsidRPr="007034A1">
              <w:rPr>
                <w:rFonts w:eastAsia="Arial"/>
                <w:bCs/>
                <w:sz w:val="20"/>
                <w:szCs w:val="20"/>
              </w:rPr>
              <w:br/>
              <w:t> </w:t>
            </w:r>
          </w:p>
        </w:tc>
      </w:tr>
      <w:tr w:rsidR="007034A1" w:rsidRPr="003C706A" w14:paraId="74046AF6" w14:textId="77777777" w:rsidTr="002246C1">
        <w:trPr>
          <w:trHeight w:val="997"/>
        </w:trPr>
        <w:tc>
          <w:tcPr>
            <w:tcW w:w="2880" w:type="dxa"/>
            <w:tcBorders>
              <w:top w:val="nil"/>
              <w:left w:val="single" w:sz="8" w:space="0" w:color="000000"/>
              <w:bottom w:val="single" w:sz="8" w:space="0" w:color="000000"/>
              <w:right w:val="single" w:sz="8" w:space="0" w:color="000000"/>
            </w:tcBorders>
            <w:shd w:val="clear" w:color="auto" w:fill="FFFFFF"/>
            <w:hideMark/>
          </w:tcPr>
          <w:p w14:paraId="6A4F0CE9" w14:textId="0BA2887E" w:rsidR="003C706A" w:rsidRPr="007034A1" w:rsidRDefault="003C706A">
            <w:pPr>
              <w:tabs>
                <w:tab w:val="left" w:pos="720"/>
              </w:tabs>
              <w:spacing w:line="232" w:lineRule="auto"/>
              <w:ind w:right="420"/>
              <w:rPr>
                <w:rFonts w:eastAsia="Arial"/>
                <w:b/>
                <w:sz w:val="20"/>
                <w:szCs w:val="20"/>
              </w:rPr>
            </w:pPr>
            <w:r w:rsidRPr="007034A1">
              <w:rPr>
                <w:rFonts w:eastAsia="Arial"/>
                <w:b/>
                <w:sz w:val="20"/>
                <w:szCs w:val="20"/>
              </w:rPr>
              <w:t>Tuesday, April 26, 20</w:t>
            </w:r>
            <w:r w:rsidR="002246C1">
              <w:rPr>
                <w:rFonts w:eastAsia="Arial"/>
                <w:b/>
                <w:sz w:val="20"/>
                <w:szCs w:val="20"/>
              </w:rPr>
              <w:t>22</w:t>
            </w:r>
          </w:p>
        </w:tc>
        <w:tc>
          <w:tcPr>
            <w:tcW w:w="1350" w:type="dxa"/>
            <w:tcBorders>
              <w:top w:val="nil"/>
              <w:left w:val="nil"/>
              <w:bottom w:val="single" w:sz="8" w:space="0" w:color="000000"/>
              <w:right w:val="single" w:sz="8" w:space="0" w:color="000000"/>
            </w:tcBorders>
            <w:shd w:val="clear" w:color="auto" w:fill="FFFFFF"/>
            <w:hideMark/>
          </w:tcPr>
          <w:p w14:paraId="75AF42DF" w14:textId="77777777"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4:00 PM  </w:t>
            </w:r>
            <w:r w:rsidRPr="007034A1">
              <w:rPr>
                <w:rFonts w:eastAsia="Arial"/>
                <w:bCs/>
                <w:sz w:val="20"/>
                <w:szCs w:val="20"/>
              </w:rPr>
              <w:br/>
              <w:t> </w:t>
            </w:r>
          </w:p>
        </w:tc>
        <w:tc>
          <w:tcPr>
            <w:tcW w:w="1800" w:type="dxa"/>
            <w:tcBorders>
              <w:top w:val="nil"/>
              <w:left w:val="nil"/>
              <w:bottom w:val="single" w:sz="8" w:space="0" w:color="000000"/>
              <w:right w:val="single" w:sz="8" w:space="0" w:color="000000"/>
            </w:tcBorders>
            <w:shd w:val="clear" w:color="auto" w:fill="FFFFFF"/>
            <w:hideMark/>
          </w:tcPr>
          <w:p w14:paraId="5FA56B5B" w14:textId="77777777"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Syracuse  </w:t>
            </w:r>
            <w:r w:rsidRPr="007034A1">
              <w:rPr>
                <w:rFonts w:eastAsia="Arial"/>
                <w:bCs/>
                <w:sz w:val="20"/>
                <w:szCs w:val="20"/>
              </w:rPr>
              <w:br/>
              <w:t> </w:t>
            </w:r>
          </w:p>
        </w:tc>
        <w:tc>
          <w:tcPr>
            <w:tcW w:w="4770" w:type="dxa"/>
            <w:tcBorders>
              <w:top w:val="nil"/>
              <w:left w:val="nil"/>
              <w:bottom w:val="single" w:sz="8" w:space="0" w:color="000000"/>
              <w:right w:val="single" w:sz="8" w:space="0" w:color="000000"/>
            </w:tcBorders>
            <w:shd w:val="clear" w:color="auto" w:fill="FFFFFF"/>
            <w:hideMark/>
          </w:tcPr>
          <w:p w14:paraId="6814761F" w14:textId="77777777"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SUNY College of Environmental Science and Forestry  </w:t>
            </w:r>
            <w:r w:rsidRPr="007034A1">
              <w:rPr>
                <w:rFonts w:eastAsia="Arial"/>
                <w:bCs/>
                <w:sz w:val="20"/>
                <w:szCs w:val="20"/>
              </w:rPr>
              <w:br/>
              <w:t>Gateway Center  </w:t>
            </w:r>
            <w:r w:rsidRPr="007034A1">
              <w:rPr>
                <w:rFonts w:eastAsia="Arial"/>
                <w:bCs/>
                <w:sz w:val="20"/>
                <w:szCs w:val="20"/>
              </w:rPr>
              <w:br/>
              <w:t>1 Forestry Drive  </w:t>
            </w:r>
            <w:r w:rsidRPr="007034A1">
              <w:rPr>
                <w:rFonts w:eastAsia="Arial"/>
                <w:bCs/>
                <w:sz w:val="20"/>
                <w:szCs w:val="20"/>
              </w:rPr>
              <w:br/>
              <w:t>Syracuse, NY 13210  </w:t>
            </w:r>
            <w:r w:rsidRPr="007034A1">
              <w:rPr>
                <w:rFonts w:eastAsia="Arial"/>
                <w:bCs/>
                <w:sz w:val="20"/>
                <w:szCs w:val="20"/>
              </w:rPr>
              <w:br/>
              <w:t> </w:t>
            </w:r>
          </w:p>
        </w:tc>
      </w:tr>
      <w:tr w:rsidR="007034A1" w:rsidRPr="003C706A" w14:paraId="30A3E7F8" w14:textId="77777777" w:rsidTr="002246C1">
        <w:trPr>
          <w:trHeight w:val="1132"/>
        </w:trPr>
        <w:tc>
          <w:tcPr>
            <w:tcW w:w="2880" w:type="dxa"/>
            <w:tcBorders>
              <w:top w:val="nil"/>
              <w:left w:val="single" w:sz="8" w:space="0" w:color="000000"/>
              <w:bottom w:val="single" w:sz="8" w:space="0" w:color="000000"/>
              <w:right w:val="single" w:sz="8" w:space="0" w:color="000000"/>
            </w:tcBorders>
            <w:shd w:val="clear" w:color="auto" w:fill="FFFFFF"/>
            <w:hideMark/>
          </w:tcPr>
          <w:p w14:paraId="68884831" w14:textId="5CA0F240" w:rsidR="003C706A" w:rsidRPr="007034A1" w:rsidRDefault="003C706A">
            <w:pPr>
              <w:tabs>
                <w:tab w:val="left" w:pos="720"/>
              </w:tabs>
              <w:spacing w:line="232" w:lineRule="auto"/>
              <w:ind w:right="420"/>
              <w:rPr>
                <w:rFonts w:eastAsia="Arial"/>
                <w:b/>
                <w:sz w:val="20"/>
                <w:szCs w:val="20"/>
              </w:rPr>
            </w:pPr>
            <w:r w:rsidRPr="007034A1">
              <w:rPr>
                <w:rFonts w:eastAsia="Arial"/>
                <w:b/>
                <w:sz w:val="20"/>
                <w:szCs w:val="20"/>
              </w:rPr>
              <w:t>Wednesday, April 27,</w:t>
            </w:r>
            <w:r w:rsidR="002246C1">
              <w:rPr>
                <w:rFonts w:eastAsia="Arial"/>
                <w:b/>
                <w:sz w:val="20"/>
                <w:szCs w:val="20"/>
              </w:rPr>
              <w:t xml:space="preserve"> </w:t>
            </w:r>
            <w:r w:rsidRPr="007034A1">
              <w:rPr>
                <w:rFonts w:eastAsia="Arial"/>
                <w:b/>
                <w:sz w:val="20"/>
                <w:szCs w:val="20"/>
              </w:rPr>
              <w:t>2022,  </w:t>
            </w:r>
            <w:r w:rsidRPr="007034A1">
              <w:rPr>
                <w:rFonts w:eastAsia="Arial"/>
                <w:b/>
                <w:sz w:val="20"/>
                <w:szCs w:val="20"/>
              </w:rPr>
              <w:br/>
              <w:t> </w:t>
            </w:r>
          </w:p>
        </w:tc>
        <w:tc>
          <w:tcPr>
            <w:tcW w:w="1350" w:type="dxa"/>
            <w:tcBorders>
              <w:top w:val="nil"/>
              <w:left w:val="nil"/>
              <w:bottom w:val="single" w:sz="8" w:space="0" w:color="000000"/>
              <w:right w:val="single" w:sz="8" w:space="0" w:color="000000"/>
            </w:tcBorders>
            <w:shd w:val="clear" w:color="auto" w:fill="FFFFFF"/>
            <w:hideMark/>
          </w:tcPr>
          <w:p w14:paraId="4F465E23" w14:textId="77777777"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3:30 PM  </w:t>
            </w:r>
            <w:r w:rsidRPr="007034A1">
              <w:rPr>
                <w:rFonts w:eastAsia="Arial"/>
                <w:bCs/>
                <w:sz w:val="20"/>
                <w:szCs w:val="20"/>
              </w:rPr>
              <w:br/>
              <w:t> </w:t>
            </w:r>
          </w:p>
        </w:tc>
        <w:tc>
          <w:tcPr>
            <w:tcW w:w="1800" w:type="dxa"/>
            <w:tcBorders>
              <w:top w:val="nil"/>
              <w:left w:val="nil"/>
              <w:bottom w:val="single" w:sz="8" w:space="0" w:color="000000"/>
              <w:right w:val="single" w:sz="8" w:space="0" w:color="000000"/>
            </w:tcBorders>
            <w:shd w:val="clear" w:color="auto" w:fill="FFFFFF"/>
            <w:hideMark/>
          </w:tcPr>
          <w:p w14:paraId="5996327D" w14:textId="77777777"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Buffalo  </w:t>
            </w:r>
            <w:r w:rsidRPr="007034A1">
              <w:rPr>
                <w:rFonts w:eastAsia="Arial"/>
                <w:bCs/>
                <w:sz w:val="20"/>
                <w:szCs w:val="20"/>
              </w:rPr>
              <w:br/>
              <w:t> </w:t>
            </w:r>
          </w:p>
        </w:tc>
        <w:tc>
          <w:tcPr>
            <w:tcW w:w="4770" w:type="dxa"/>
            <w:tcBorders>
              <w:top w:val="nil"/>
              <w:left w:val="nil"/>
              <w:bottom w:val="single" w:sz="8" w:space="0" w:color="000000"/>
              <w:right w:val="single" w:sz="8" w:space="0" w:color="000000"/>
            </w:tcBorders>
            <w:shd w:val="clear" w:color="auto" w:fill="FFFFFF"/>
            <w:hideMark/>
          </w:tcPr>
          <w:p w14:paraId="721BD414" w14:textId="77777777"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Buffalo &amp; Erie County Public Library  </w:t>
            </w:r>
            <w:r w:rsidRPr="007034A1">
              <w:rPr>
                <w:rFonts w:eastAsia="Arial"/>
                <w:bCs/>
                <w:sz w:val="20"/>
                <w:szCs w:val="20"/>
              </w:rPr>
              <w:br/>
              <w:t>Mason O. Damon Auditorium  </w:t>
            </w:r>
            <w:r w:rsidRPr="007034A1">
              <w:rPr>
                <w:rFonts w:eastAsia="Arial"/>
                <w:bCs/>
                <w:sz w:val="20"/>
                <w:szCs w:val="20"/>
              </w:rPr>
              <w:br/>
              <w:t>1 Lafayette Square  </w:t>
            </w:r>
            <w:r w:rsidRPr="007034A1">
              <w:rPr>
                <w:rFonts w:eastAsia="Arial"/>
                <w:bCs/>
                <w:sz w:val="20"/>
                <w:szCs w:val="20"/>
              </w:rPr>
              <w:br/>
              <w:t>Buffalo, NY 14203  </w:t>
            </w:r>
            <w:r w:rsidRPr="007034A1">
              <w:rPr>
                <w:rFonts w:eastAsia="Arial"/>
                <w:bCs/>
                <w:sz w:val="20"/>
                <w:szCs w:val="20"/>
              </w:rPr>
              <w:br/>
              <w:t> </w:t>
            </w:r>
          </w:p>
        </w:tc>
      </w:tr>
      <w:tr w:rsidR="007034A1" w:rsidRPr="003C706A" w14:paraId="60B8404E" w14:textId="77777777" w:rsidTr="002246C1">
        <w:trPr>
          <w:trHeight w:val="1060"/>
        </w:trPr>
        <w:tc>
          <w:tcPr>
            <w:tcW w:w="2880" w:type="dxa"/>
            <w:tcBorders>
              <w:top w:val="nil"/>
              <w:left w:val="single" w:sz="8" w:space="0" w:color="000000"/>
              <w:bottom w:val="single" w:sz="8" w:space="0" w:color="000000"/>
              <w:right w:val="single" w:sz="8" w:space="0" w:color="000000"/>
            </w:tcBorders>
            <w:shd w:val="clear" w:color="auto" w:fill="FFFFFF"/>
            <w:hideMark/>
          </w:tcPr>
          <w:p w14:paraId="1B06F3BB" w14:textId="77777777" w:rsidR="003C706A" w:rsidRPr="007034A1" w:rsidRDefault="003C706A">
            <w:pPr>
              <w:tabs>
                <w:tab w:val="left" w:pos="720"/>
              </w:tabs>
              <w:spacing w:line="232" w:lineRule="auto"/>
              <w:ind w:right="420"/>
              <w:rPr>
                <w:rFonts w:eastAsia="Arial"/>
                <w:b/>
                <w:sz w:val="20"/>
                <w:szCs w:val="20"/>
              </w:rPr>
            </w:pPr>
            <w:r w:rsidRPr="007034A1">
              <w:rPr>
                <w:rFonts w:eastAsia="Arial"/>
                <w:b/>
                <w:sz w:val="20"/>
                <w:szCs w:val="20"/>
              </w:rPr>
              <w:t>Tuesday, May 3, 2022,  </w:t>
            </w:r>
            <w:r w:rsidRPr="007034A1">
              <w:rPr>
                <w:rFonts w:eastAsia="Arial"/>
                <w:b/>
                <w:sz w:val="20"/>
                <w:szCs w:val="20"/>
              </w:rPr>
              <w:br/>
              <w:t> </w:t>
            </w:r>
          </w:p>
        </w:tc>
        <w:tc>
          <w:tcPr>
            <w:tcW w:w="1350" w:type="dxa"/>
            <w:tcBorders>
              <w:top w:val="nil"/>
              <w:left w:val="nil"/>
              <w:bottom w:val="single" w:sz="8" w:space="0" w:color="000000"/>
              <w:right w:val="single" w:sz="8" w:space="0" w:color="000000"/>
            </w:tcBorders>
            <w:shd w:val="clear" w:color="auto" w:fill="FFFFFF"/>
            <w:hideMark/>
          </w:tcPr>
          <w:p w14:paraId="74C11037" w14:textId="77777777"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4:00 PM  </w:t>
            </w:r>
            <w:r w:rsidRPr="007034A1">
              <w:rPr>
                <w:rFonts w:eastAsia="Arial"/>
                <w:bCs/>
                <w:sz w:val="20"/>
                <w:szCs w:val="20"/>
              </w:rPr>
              <w:br/>
              <w:t> </w:t>
            </w:r>
          </w:p>
        </w:tc>
        <w:tc>
          <w:tcPr>
            <w:tcW w:w="1800" w:type="dxa"/>
            <w:tcBorders>
              <w:top w:val="nil"/>
              <w:left w:val="nil"/>
              <w:bottom w:val="single" w:sz="8" w:space="0" w:color="000000"/>
              <w:right w:val="single" w:sz="8" w:space="0" w:color="000000"/>
            </w:tcBorders>
            <w:shd w:val="clear" w:color="auto" w:fill="FFFFFF"/>
            <w:hideMark/>
          </w:tcPr>
          <w:p w14:paraId="2D981288" w14:textId="77777777"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Brooklyn  </w:t>
            </w:r>
            <w:r w:rsidRPr="007034A1">
              <w:rPr>
                <w:rFonts w:eastAsia="Arial"/>
                <w:bCs/>
                <w:sz w:val="20"/>
                <w:szCs w:val="20"/>
              </w:rPr>
              <w:br/>
              <w:t> </w:t>
            </w:r>
          </w:p>
        </w:tc>
        <w:tc>
          <w:tcPr>
            <w:tcW w:w="4770" w:type="dxa"/>
            <w:tcBorders>
              <w:top w:val="nil"/>
              <w:left w:val="nil"/>
              <w:bottom w:val="single" w:sz="8" w:space="0" w:color="000000"/>
              <w:right w:val="single" w:sz="8" w:space="0" w:color="000000"/>
            </w:tcBorders>
            <w:shd w:val="clear" w:color="auto" w:fill="FFFFFF"/>
            <w:hideMark/>
          </w:tcPr>
          <w:p w14:paraId="3E0BAB52" w14:textId="77777777"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New York City College of Technology  </w:t>
            </w:r>
            <w:r w:rsidRPr="007034A1">
              <w:rPr>
                <w:rFonts w:eastAsia="Arial"/>
                <w:bCs/>
                <w:sz w:val="20"/>
                <w:szCs w:val="20"/>
              </w:rPr>
              <w:br/>
              <w:t>The Theater at City Tech  </w:t>
            </w:r>
            <w:r w:rsidRPr="007034A1">
              <w:rPr>
                <w:rFonts w:eastAsia="Arial"/>
                <w:bCs/>
                <w:sz w:val="20"/>
                <w:szCs w:val="20"/>
              </w:rPr>
              <w:br/>
              <w:t>285 Jay Street  </w:t>
            </w:r>
            <w:r w:rsidRPr="007034A1">
              <w:rPr>
                <w:rFonts w:eastAsia="Arial"/>
                <w:bCs/>
                <w:sz w:val="20"/>
                <w:szCs w:val="20"/>
              </w:rPr>
              <w:br/>
              <w:t>Brooklyn, NY 11201  </w:t>
            </w:r>
            <w:r w:rsidRPr="007034A1">
              <w:rPr>
                <w:rFonts w:eastAsia="Arial"/>
                <w:bCs/>
                <w:sz w:val="20"/>
                <w:szCs w:val="20"/>
              </w:rPr>
              <w:br/>
              <w:t> </w:t>
            </w:r>
          </w:p>
        </w:tc>
      </w:tr>
      <w:tr w:rsidR="007034A1" w:rsidRPr="003C706A" w14:paraId="1EEBC5F5" w14:textId="77777777" w:rsidTr="002246C1">
        <w:trPr>
          <w:trHeight w:val="1798"/>
        </w:trPr>
        <w:tc>
          <w:tcPr>
            <w:tcW w:w="2880" w:type="dxa"/>
            <w:tcBorders>
              <w:top w:val="nil"/>
              <w:left w:val="single" w:sz="8" w:space="0" w:color="000000"/>
              <w:bottom w:val="single" w:sz="8" w:space="0" w:color="000000"/>
              <w:right w:val="single" w:sz="8" w:space="0" w:color="000000"/>
            </w:tcBorders>
            <w:shd w:val="clear" w:color="auto" w:fill="FFFFFF"/>
            <w:hideMark/>
          </w:tcPr>
          <w:p w14:paraId="1787D02C" w14:textId="77777777" w:rsidR="003C706A" w:rsidRPr="007034A1" w:rsidRDefault="003C706A">
            <w:pPr>
              <w:tabs>
                <w:tab w:val="left" w:pos="720"/>
              </w:tabs>
              <w:spacing w:line="232" w:lineRule="auto"/>
              <w:ind w:right="420"/>
              <w:rPr>
                <w:rFonts w:eastAsia="Arial"/>
                <w:b/>
                <w:sz w:val="20"/>
                <w:szCs w:val="20"/>
              </w:rPr>
            </w:pPr>
            <w:r w:rsidRPr="007034A1">
              <w:rPr>
                <w:rFonts w:eastAsia="Arial"/>
                <w:b/>
                <w:sz w:val="20"/>
                <w:szCs w:val="20"/>
              </w:rPr>
              <w:t>Saturday, May 7, 2022,  </w:t>
            </w:r>
            <w:r w:rsidRPr="007034A1">
              <w:rPr>
                <w:rFonts w:eastAsia="Arial"/>
                <w:b/>
                <w:sz w:val="20"/>
                <w:szCs w:val="20"/>
              </w:rPr>
              <w:br/>
              <w:t> </w:t>
            </w:r>
          </w:p>
        </w:tc>
        <w:tc>
          <w:tcPr>
            <w:tcW w:w="1350" w:type="dxa"/>
            <w:tcBorders>
              <w:top w:val="nil"/>
              <w:left w:val="nil"/>
              <w:bottom w:val="single" w:sz="8" w:space="0" w:color="000000"/>
              <w:right w:val="single" w:sz="8" w:space="0" w:color="000000"/>
            </w:tcBorders>
            <w:shd w:val="clear" w:color="auto" w:fill="FFFFFF"/>
            <w:hideMark/>
          </w:tcPr>
          <w:p w14:paraId="5049E7AC" w14:textId="77777777"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10:00 AM  </w:t>
            </w:r>
            <w:r w:rsidRPr="007034A1">
              <w:rPr>
                <w:rFonts w:eastAsia="Arial"/>
                <w:bCs/>
                <w:sz w:val="20"/>
                <w:szCs w:val="20"/>
              </w:rPr>
              <w:br/>
              <w:t> </w:t>
            </w:r>
          </w:p>
        </w:tc>
        <w:tc>
          <w:tcPr>
            <w:tcW w:w="1800" w:type="dxa"/>
            <w:tcBorders>
              <w:top w:val="nil"/>
              <w:left w:val="nil"/>
              <w:bottom w:val="single" w:sz="8" w:space="0" w:color="000000"/>
              <w:right w:val="single" w:sz="8" w:space="0" w:color="000000"/>
            </w:tcBorders>
            <w:shd w:val="clear" w:color="auto" w:fill="FFFFFF"/>
            <w:hideMark/>
          </w:tcPr>
          <w:p w14:paraId="3E499A76" w14:textId="77777777"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VIRTUAL  </w:t>
            </w:r>
            <w:r w:rsidRPr="007034A1">
              <w:rPr>
                <w:rFonts w:eastAsia="Arial"/>
                <w:bCs/>
                <w:sz w:val="20"/>
                <w:szCs w:val="20"/>
              </w:rPr>
              <w:br/>
              <w:t> </w:t>
            </w:r>
          </w:p>
        </w:tc>
        <w:tc>
          <w:tcPr>
            <w:tcW w:w="4770" w:type="dxa"/>
            <w:tcBorders>
              <w:top w:val="nil"/>
              <w:left w:val="nil"/>
              <w:bottom w:val="single" w:sz="8" w:space="0" w:color="000000"/>
              <w:right w:val="single" w:sz="8" w:space="0" w:color="000000"/>
            </w:tcBorders>
            <w:shd w:val="clear" w:color="auto" w:fill="FFFFFF"/>
            <w:hideMark/>
          </w:tcPr>
          <w:p w14:paraId="28B766B4" w14:textId="2FF71E7E"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Event link: </w:t>
            </w:r>
            <w:hyperlink r:id="rId9" w:tgtFrame="_blank" w:history="1">
              <w:r w:rsidRPr="007034A1">
                <w:rPr>
                  <w:rStyle w:val="Hyperlink"/>
                  <w:rFonts w:eastAsia="Arial"/>
                  <w:bCs/>
                  <w:sz w:val="20"/>
                  <w:szCs w:val="20"/>
                </w:rPr>
                <w:t>https://nyserdany.webex.com/nyserdany/onstage/g.php?MTID=e3f037513c7ab055c46f1253fb908265e</w:t>
              </w:r>
            </w:hyperlink>
            <w:r w:rsidRPr="007034A1">
              <w:rPr>
                <w:rFonts w:eastAsia="Arial"/>
                <w:bCs/>
                <w:sz w:val="20"/>
                <w:szCs w:val="20"/>
              </w:rPr>
              <w:t> </w:t>
            </w:r>
            <w:r w:rsidRPr="007034A1">
              <w:rPr>
                <w:rFonts w:eastAsia="Arial"/>
                <w:bCs/>
                <w:sz w:val="20"/>
                <w:szCs w:val="20"/>
              </w:rPr>
              <w:br/>
              <w:t> </w:t>
            </w:r>
            <w:r w:rsidRPr="007034A1">
              <w:rPr>
                <w:rFonts w:eastAsia="Arial"/>
                <w:bCs/>
                <w:sz w:val="20"/>
                <w:szCs w:val="20"/>
                <w:u w:val="single"/>
              </w:rPr>
              <w:t>Event number: 2599 706 6384</w:t>
            </w:r>
            <w:r w:rsidRPr="007034A1">
              <w:rPr>
                <w:rFonts w:eastAsia="Arial"/>
                <w:bCs/>
                <w:sz w:val="20"/>
                <w:szCs w:val="20"/>
              </w:rPr>
              <w:t> </w:t>
            </w:r>
            <w:r w:rsidRPr="007034A1">
              <w:rPr>
                <w:rFonts w:eastAsia="Arial"/>
                <w:bCs/>
                <w:sz w:val="20"/>
                <w:szCs w:val="20"/>
              </w:rPr>
              <w:br/>
            </w:r>
            <w:r w:rsidRPr="007034A1">
              <w:rPr>
                <w:rFonts w:eastAsia="Arial"/>
                <w:bCs/>
                <w:sz w:val="20"/>
                <w:szCs w:val="20"/>
                <w:u w:val="single"/>
              </w:rPr>
              <w:t>Event password: climate</w:t>
            </w:r>
            <w:r w:rsidRPr="007034A1">
              <w:rPr>
                <w:rFonts w:eastAsia="Arial"/>
                <w:bCs/>
                <w:sz w:val="20"/>
                <w:szCs w:val="20"/>
              </w:rPr>
              <w:t> </w:t>
            </w:r>
            <w:r w:rsidRPr="007034A1">
              <w:rPr>
                <w:rFonts w:eastAsia="Arial"/>
                <w:bCs/>
                <w:sz w:val="20"/>
                <w:szCs w:val="20"/>
              </w:rPr>
              <w:br/>
            </w:r>
            <w:r w:rsidRPr="007034A1">
              <w:rPr>
                <w:rFonts w:eastAsia="Arial"/>
                <w:bCs/>
                <w:sz w:val="20"/>
                <w:szCs w:val="20"/>
                <w:u w:val="single"/>
              </w:rPr>
              <w:t>Call in number: +1-415-655-0003</w:t>
            </w:r>
            <w:r w:rsidRPr="007034A1">
              <w:rPr>
                <w:rFonts w:eastAsia="Arial"/>
                <w:bCs/>
                <w:sz w:val="20"/>
                <w:szCs w:val="20"/>
              </w:rPr>
              <w:t> </w:t>
            </w:r>
            <w:r w:rsidRPr="007034A1">
              <w:rPr>
                <w:rFonts w:eastAsia="Arial"/>
                <w:bCs/>
                <w:sz w:val="20"/>
                <w:szCs w:val="20"/>
              </w:rPr>
              <w:br/>
            </w:r>
            <w:r w:rsidRPr="007034A1">
              <w:rPr>
                <w:rFonts w:eastAsia="Arial"/>
                <w:bCs/>
                <w:sz w:val="20"/>
                <w:szCs w:val="20"/>
                <w:u w:val="single"/>
              </w:rPr>
              <w:t>Call in access code: 2599 706 6384</w:t>
            </w:r>
            <w:r w:rsidRPr="007034A1">
              <w:rPr>
                <w:rFonts w:eastAsia="Arial"/>
                <w:bCs/>
                <w:sz w:val="20"/>
                <w:szCs w:val="20"/>
              </w:rPr>
              <w:t> </w:t>
            </w:r>
            <w:r w:rsidRPr="007034A1">
              <w:rPr>
                <w:rFonts w:eastAsia="Arial"/>
                <w:bCs/>
                <w:sz w:val="20"/>
                <w:szCs w:val="20"/>
              </w:rPr>
              <w:br/>
              <w:t> </w:t>
            </w:r>
          </w:p>
        </w:tc>
      </w:tr>
      <w:tr w:rsidR="007034A1" w:rsidRPr="003C706A" w14:paraId="56D5AAC1" w14:textId="77777777" w:rsidTr="002246C1">
        <w:trPr>
          <w:trHeight w:val="700"/>
        </w:trPr>
        <w:tc>
          <w:tcPr>
            <w:tcW w:w="2880" w:type="dxa"/>
            <w:tcBorders>
              <w:top w:val="nil"/>
              <w:left w:val="single" w:sz="8" w:space="0" w:color="000000"/>
              <w:bottom w:val="single" w:sz="8" w:space="0" w:color="000000"/>
              <w:right w:val="single" w:sz="8" w:space="0" w:color="000000"/>
            </w:tcBorders>
            <w:shd w:val="clear" w:color="auto" w:fill="FFFFFF"/>
            <w:hideMark/>
          </w:tcPr>
          <w:p w14:paraId="5616152E" w14:textId="77777777" w:rsidR="003C706A" w:rsidRPr="007034A1" w:rsidRDefault="003C706A">
            <w:pPr>
              <w:tabs>
                <w:tab w:val="left" w:pos="720"/>
              </w:tabs>
              <w:spacing w:line="232" w:lineRule="auto"/>
              <w:ind w:right="420"/>
              <w:rPr>
                <w:rFonts w:eastAsia="Arial"/>
                <w:b/>
                <w:sz w:val="20"/>
                <w:szCs w:val="20"/>
              </w:rPr>
            </w:pPr>
            <w:r w:rsidRPr="007034A1">
              <w:rPr>
                <w:rFonts w:eastAsia="Arial"/>
                <w:b/>
                <w:sz w:val="20"/>
                <w:szCs w:val="20"/>
              </w:rPr>
              <w:t>Tuesday, May 10, 2022,  </w:t>
            </w:r>
            <w:r w:rsidRPr="007034A1">
              <w:rPr>
                <w:rFonts w:eastAsia="Arial"/>
                <w:b/>
                <w:sz w:val="20"/>
                <w:szCs w:val="20"/>
              </w:rPr>
              <w:br/>
              <w:t> </w:t>
            </w:r>
          </w:p>
        </w:tc>
        <w:tc>
          <w:tcPr>
            <w:tcW w:w="1350" w:type="dxa"/>
            <w:tcBorders>
              <w:top w:val="nil"/>
              <w:left w:val="nil"/>
              <w:bottom w:val="single" w:sz="8" w:space="0" w:color="000000"/>
              <w:right w:val="single" w:sz="8" w:space="0" w:color="000000"/>
            </w:tcBorders>
            <w:shd w:val="clear" w:color="auto" w:fill="FFFFFF"/>
            <w:hideMark/>
          </w:tcPr>
          <w:p w14:paraId="28376300" w14:textId="77777777"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4:00 PM  </w:t>
            </w:r>
            <w:r w:rsidRPr="007034A1">
              <w:rPr>
                <w:rFonts w:eastAsia="Arial"/>
                <w:bCs/>
                <w:sz w:val="20"/>
                <w:szCs w:val="20"/>
              </w:rPr>
              <w:br/>
              <w:t> </w:t>
            </w:r>
          </w:p>
        </w:tc>
        <w:tc>
          <w:tcPr>
            <w:tcW w:w="1800" w:type="dxa"/>
            <w:tcBorders>
              <w:top w:val="nil"/>
              <w:left w:val="nil"/>
              <w:bottom w:val="single" w:sz="8" w:space="0" w:color="000000"/>
              <w:right w:val="single" w:sz="8" w:space="0" w:color="000000"/>
            </w:tcBorders>
            <w:shd w:val="clear" w:color="auto" w:fill="FFFFFF"/>
            <w:hideMark/>
          </w:tcPr>
          <w:p w14:paraId="6FDDAFF1" w14:textId="77777777"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Tupper Lake  </w:t>
            </w:r>
            <w:r w:rsidRPr="007034A1">
              <w:rPr>
                <w:rFonts w:eastAsia="Arial"/>
                <w:bCs/>
                <w:sz w:val="20"/>
                <w:szCs w:val="20"/>
              </w:rPr>
              <w:br/>
              <w:t> </w:t>
            </w:r>
          </w:p>
        </w:tc>
        <w:tc>
          <w:tcPr>
            <w:tcW w:w="4770" w:type="dxa"/>
            <w:tcBorders>
              <w:top w:val="nil"/>
              <w:left w:val="nil"/>
              <w:bottom w:val="single" w:sz="8" w:space="0" w:color="000000"/>
              <w:right w:val="single" w:sz="8" w:space="0" w:color="000000"/>
            </w:tcBorders>
            <w:shd w:val="clear" w:color="auto" w:fill="FFFFFF"/>
            <w:hideMark/>
          </w:tcPr>
          <w:p w14:paraId="26B3B28E" w14:textId="77777777"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The Wild Center  </w:t>
            </w:r>
            <w:r w:rsidRPr="007034A1">
              <w:rPr>
                <w:rFonts w:eastAsia="Arial"/>
                <w:bCs/>
                <w:sz w:val="20"/>
                <w:szCs w:val="20"/>
              </w:rPr>
              <w:br/>
              <w:t>45 Museum Drive  </w:t>
            </w:r>
            <w:r w:rsidRPr="007034A1">
              <w:rPr>
                <w:rFonts w:eastAsia="Arial"/>
                <w:bCs/>
                <w:sz w:val="20"/>
                <w:szCs w:val="20"/>
              </w:rPr>
              <w:br/>
              <w:t>Tupper Lake, NY 12986  </w:t>
            </w:r>
            <w:r w:rsidRPr="007034A1">
              <w:rPr>
                <w:rFonts w:eastAsia="Arial"/>
                <w:bCs/>
                <w:sz w:val="20"/>
                <w:szCs w:val="20"/>
              </w:rPr>
              <w:br/>
              <w:t> </w:t>
            </w:r>
          </w:p>
        </w:tc>
      </w:tr>
      <w:tr w:rsidR="007034A1" w:rsidRPr="003C706A" w14:paraId="659961B4" w14:textId="77777777" w:rsidTr="002246C1">
        <w:trPr>
          <w:trHeight w:val="2293"/>
        </w:trPr>
        <w:tc>
          <w:tcPr>
            <w:tcW w:w="2880" w:type="dxa"/>
            <w:tcBorders>
              <w:top w:val="nil"/>
              <w:left w:val="single" w:sz="8" w:space="0" w:color="000000"/>
              <w:bottom w:val="single" w:sz="8" w:space="0" w:color="000000"/>
              <w:right w:val="single" w:sz="8" w:space="0" w:color="000000"/>
            </w:tcBorders>
            <w:shd w:val="clear" w:color="auto" w:fill="FFFFFF"/>
            <w:hideMark/>
          </w:tcPr>
          <w:p w14:paraId="5E049EA7" w14:textId="77777777" w:rsidR="003C706A" w:rsidRPr="007034A1" w:rsidRDefault="003C706A">
            <w:pPr>
              <w:tabs>
                <w:tab w:val="left" w:pos="720"/>
              </w:tabs>
              <w:spacing w:line="232" w:lineRule="auto"/>
              <w:ind w:right="420"/>
              <w:rPr>
                <w:rFonts w:eastAsia="Arial"/>
                <w:b/>
                <w:sz w:val="20"/>
                <w:szCs w:val="20"/>
              </w:rPr>
            </w:pPr>
            <w:r w:rsidRPr="007034A1">
              <w:rPr>
                <w:rFonts w:eastAsia="Arial"/>
                <w:b/>
                <w:sz w:val="20"/>
                <w:szCs w:val="20"/>
              </w:rPr>
              <w:t>Wednesday, May 11, 2022,  </w:t>
            </w:r>
            <w:r w:rsidRPr="007034A1">
              <w:rPr>
                <w:rFonts w:eastAsia="Arial"/>
                <w:b/>
                <w:sz w:val="20"/>
                <w:szCs w:val="20"/>
              </w:rPr>
              <w:br/>
              <w:t> </w:t>
            </w:r>
          </w:p>
        </w:tc>
        <w:tc>
          <w:tcPr>
            <w:tcW w:w="1350" w:type="dxa"/>
            <w:tcBorders>
              <w:top w:val="nil"/>
              <w:left w:val="nil"/>
              <w:bottom w:val="single" w:sz="8" w:space="0" w:color="000000"/>
              <w:right w:val="single" w:sz="8" w:space="0" w:color="000000"/>
            </w:tcBorders>
            <w:shd w:val="clear" w:color="auto" w:fill="FFFFFF"/>
            <w:hideMark/>
          </w:tcPr>
          <w:p w14:paraId="72476620" w14:textId="77777777"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4:00 PM  </w:t>
            </w:r>
            <w:r w:rsidRPr="007034A1">
              <w:rPr>
                <w:rFonts w:eastAsia="Arial"/>
                <w:bCs/>
                <w:sz w:val="20"/>
                <w:szCs w:val="20"/>
              </w:rPr>
              <w:br/>
              <w:t> </w:t>
            </w:r>
          </w:p>
        </w:tc>
        <w:tc>
          <w:tcPr>
            <w:tcW w:w="1800" w:type="dxa"/>
            <w:tcBorders>
              <w:top w:val="nil"/>
              <w:left w:val="nil"/>
              <w:bottom w:val="single" w:sz="8" w:space="0" w:color="000000"/>
              <w:right w:val="single" w:sz="8" w:space="0" w:color="000000"/>
            </w:tcBorders>
            <w:shd w:val="clear" w:color="auto" w:fill="FFFFFF"/>
            <w:hideMark/>
          </w:tcPr>
          <w:p w14:paraId="3825C453" w14:textId="77777777"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VIRTUAL  </w:t>
            </w:r>
            <w:r w:rsidRPr="007034A1">
              <w:rPr>
                <w:rFonts w:eastAsia="Arial"/>
                <w:bCs/>
                <w:sz w:val="20"/>
                <w:szCs w:val="20"/>
              </w:rPr>
              <w:br/>
              <w:t> </w:t>
            </w:r>
          </w:p>
        </w:tc>
        <w:tc>
          <w:tcPr>
            <w:tcW w:w="4770" w:type="dxa"/>
            <w:tcBorders>
              <w:top w:val="nil"/>
              <w:left w:val="nil"/>
              <w:bottom w:val="single" w:sz="8" w:space="0" w:color="000000"/>
              <w:right w:val="single" w:sz="8" w:space="0" w:color="000000"/>
            </w:tcBorders>
            <w:shd w:val="clear" w:color="auto" w:fill="FFFFFF"/>
            <w:hideMark/>
          </w:tcPr>
          <w:p w14:paraId="1BE970CE" w14:textId="77777777" w:rsidR="003C706A" w:rsidRPr="007034A1" w:rsidRDefault="003C706A">
            <w:pPr>
              <w:tabs>
                <w:tab w:val="left" w:pos="720"/>
              </w:tabs>
              <w:spacing w:line="232" w:lineRule="auto"/>
              <w:ind w:right="420"/>
              <w:rPr>
                <w:rFonts w:eastAsia="Arial"/>
                <w:bCs/>
                <w:sz w:val="20"/>
                <w:szCs w:val="20"/>
              </w:rPr>
            </w:pPr>
            <w:r w:rsidRPr="007034A1">
              <w:rPr>
                <w:rFonts w:eastAsia="Arial"/>
                <w:bCs/>
                <w:sz w:val="20"/>
                <w:szCs w:val="20"/>
              </w:rPr>
              <w:t>Event link: </w:t>
            </w:r>
            <w:r w:rsidRPr="007034A1">
              <w:rPr>
                <w:rFonts w:eastAsia="Arial"/>
                <w:bCs/>
                <w:sz w:val="20"/>
                <w:szCs w:val="20"/>
              </w:rPr>
              <w:br/>
            </w:r>
            <w:hyperlink r:id="rId10" w:tgtFrame="_blank" w:history="1">
              <w:r w:rsidRPr="007034A1">
                <w:rPr>
                  <w:rStyle w:val="Hyperlink"/>
                  <w:rFonts w:eastAsia="Arial"/>
                  <w:bCs/>
                  <w:sz w:val="20"/>
                  <w:szCs w:val="20"/>
                </w:rPr>
                <w:t>https://nyserdany.webex.com/nyserdany/onstage/g.php?MTID=eecfcf639bf8b5c07f1740e976f494fba</w:t>
              </w:r>
            </w:hyperlink>
            <w:r w:rsidRPr="007034A1">
              <w:rPr>
                <w:rFonts w:eastAsia="Arial"/>
                <w:bCs/>
                <w:sz w:val="20"/>
                <w:szCs w:val="20"/>
              </w:rPr>
              <w:t> </w:t>
            </w:r>
            <w:r w:rsidRPr="007034A1">
              <w:rPr>
                <w:rFonts w:eastAsia="Arial"/>
                <w:bCs/>
                <w:sz w:val="20"/>
                <w:szCs w:val="20"/>
              </w:rPr>
              <w:br/>
              <w:t> </w:t>
            </w:r>
            <w:r w:rsidRPr="007034A1">
              <w:rPr>
                <w:rFonts w:eastAsia="Arial"/>
                <w:bCs/>
                <w:sz w:val="20"/>
                <w:szCs w:val="20"/>
              </w:rPr>
              <w:br/>
            </w:r>
            <w:r w:rsidRPr="007034A1">
              <w:rPr>
                <w:rFonts w:eastAsia="Arial"/>
                <w:bCs/>
                <w:sz w:val="20"/>
                <w:szCs w:val="20"/>
                <w:u w:val="single"/>
              </w:rPr>
              <w:t>Event number: 2595 530 3236</w:t>
            </w:r>
            <w:r w:rsidRPr="007034A1">
              <w:rPr>
                <w:rFonts w:eastAsia="Arial"/>
                <w:bCs/>
                <w:sz w:val="20"/>
                <w:szCs w:val="20"/>
              </w:rPr>
              <w:t> </w:t>
            </w:r>
            <w:r w:rsidRPr="007034A1">
              <w:rPr>
                <w:rFonts w:eastAsia="Arial"/>
                <w:bCs/>
                <w:sz w:val="20"/>
                <w:szCs w:val="20"/>
              </w:rPr>
              <w:br/>
            </w:r>
            <w:r w:rsidRPr="007034A1">
              <w:rPr>
                <w:rFonts w:eastAsia="Arial"/>
                <w:bCs/>
                <w:sz w:val="20"/>
                <w:szCs w:val="20"/>
                <w:u w:val="single"/>
              </w:rPr>
              <w:t>Event password: climate</w:t>
            </w:r>
            <w:r w:rsidRPr="007034A1">
              <w:rPr>
                <w:rFonts w:eastAsia="Arial"/>
                <w:bCs/>
                <w:sz w:val="20"/>
                <w:szCs w:val="20"/>
              </w:rPr>
              <w:t> </w:t>
            </w:r>
            <w:r w:rsidRPr="007034A1">
              <w:rPr>
                <w:rFonts w:eastAsia="Arial"/>
                <w:bCs/>
                <w:sz w:val="20"/>
                <w:szCs w:val="20"/>
              </w:rPr>
              <w:br/>
            </w:r>
            <w:r w:rsidRPr="007034A1">
              <w:rPr>
                <w:rFonts w:eastAsia="Arial"/>
                <w:bCs/>
                <w:sz w:val="20"/>
                <w:szCs w:val="20"/>
                <w:u w:val="single"/>
              </w:rPr>
              <w:t>Call in number: +1-415-655-0003</w:t>
            </w:r>
            <w:r w:rsidRPr="007034A1">
              <w:rPr>
                <w:rFonts w:eastAsia="Arial"/>
                <w:bCs/>
                <w:sz w:val="20"/>
                <w:szCs w:val="20"/>
              </w:rPr>
              <w:t> </w:t>
            </w:r>
            <w:r w:rsidRPr="007034A1">
              <w:rPr>
                <w:rFonts w:eastAsia="Arial"/>
                <w:bCs/>
                <w:sz w:val="20"/>
                <w:szCs w:val="20"/>
              </w:rPr>
              <w:br/>
            </w:r>
            <w:r w:rsidRPr="007034A1">
              <w:rPr>
                <w:rFonts w:eastAsia="Arial"/>
                <w:bCs/>
                <w:sz w:val="20"/>
                <w:szCs w:val="20"/>
                <w:u w:val="single"/>
              </w:rPr>
              <w:t>Call in access code: 2595 530 3236</w:t>
            </w:r>
            <w:r w:rsidRPr="007034A1">
              <w:rPr>
                <w:rFonts w:eastAsia="Arial"/>
                <w:bCs/>
                <w:sz w:val="20"/>
                <w:szCs w:val="20"/>
              </w:rPr>
              <w:t> </w:t>
            </w:r>
            <w:r w:rsidRPr="007034A1">
              <w:rPr>
                <w:rFonts w:eastAsia="Arial"/>
                <w:bCs/>
                <w:sz w:val="20"/>
                <w:szCs w:val="20"/>
              </w:rPr>
              <w:br/>
              <w:t> </w:t>
            </w:r>
          </w:p>
        </w:tc>
      </w:tr>
    </w:tbl>
    <w:p w14:paraId="1953E9AD" w14:textId="77777777" w:rsidR="006D1302" w:rsidRDefault="006D1302" w:rsidP="003C706A">
      <w:pPr>
        <w:tabs>
          <w:tab w:val="left" w:pos="720"/>
        </w:tabs>
        <w:spacing w:line="232" w:lineRule="auto"/>
        <w:ind w:right="420"/>
        <w:rPr>
          <w:rFonts w:eastAsia="Arial"/>
          <w:bCs/>
          <w:sz w:val="22"/>
          <w:szCs w:val="22"/>
        </w:rPr>
        <w:sectPr w:rsidR="006D1302" w:rsidSect="007034A1">
          <w:type w:val="continuous"/>
          <w:pgSz w:w="12240" w:h="15840"/>
          <w:pgMar w:top="720" w:right="720" w:bottom="720" w:left="720" w:header="720" w:footer="720" w:gutter="0"/>
          <w:cols w:space="720"/>
          <w:docGrid w:linePitch="360"/>
        </w:sectPr>
      </w:pPr>
    </w:p>
    <w:p w14:paraId="4846328C" w14:textId="77777777" w:rsidR="003C706A" w:rsidRPr="003C706A" w:rsidRDefault="003C706A" w:rsidP="003C706A">
      <w:pPr>
        <w:tabs>
          <w:tab w:val="left" w:pos="720"/>
        </w:tabs>
        <w:spacing w:line="232" w:lineRule="auto"/>
        <w:ind w:right="420"/>
        <w:rPr>
          <w:rFonts w:eastAsia="Arial"/>
          <w:bCs/>
          <w:sz w:val="22"/>
          <w:szCs w:val="22"/>
        </w:rPr>
      </w:pPr>
    </w:p>
    <w:p w14:paraId="480DFDE0" w14:textId="43385E33" w:rsidR="003C706A" w:rsidRPr="003C706A" w:rsidRDefault="003C706A" w:rsidP="003C706A">
      <w:pPr>
        <w:tabs>
          <w:tab w:val="left" w:pos="720"/>
        </w:tabs>
        <w:spacing w:line="232" w:lineRule="auto"/>
        <w:ind w:right="420"/>
        <w:rPr>
          <w:rFonts w:eastAsia="Arial"/>
          <w:bCs/>
          <w:sz w:val="22"/>
          <w:szCs w:val="22"/>
        </w:rPr>
      </w:pPr>
      <w:r w:rsidRPr="003C706A">
        <w:rPr>
          <w:rFonts w:eastAsia="Arial"/>
          <w:bCs/>
          <w:sz w:val="22"/>
          <w:szCs w:val="22"/>
        </w:rPr>
        <w:t>Additional steps in the Climate Action Council process include:</w:t>
      </w:r>
    </w:p>
    <w:p w14:paraId="5BD14C1F" w14:textId="77777777" w:rsidR="003C706A" w:rsidRPr="003C706A" w:rsidRDefault="003C706A" w:rsidP="003C706A">
      <w:pPr>
        <w:tabs>
          <w:tab w:val="left" w:pos="720"/>
        </w:tabs>
        <w:spacing w:line="232" w:lineRule="auto"/>
        <w:ind w:right="420"/>
        <w:rPr>
          <w:rFonts w:eastAsia="Arial"/>
          <w:bCs/>
          <w:sz w:val="22"/>
          <w:szCs w:val="22"/>
        </w:rPr>
      </w:pPr>
    </w:p>
    <w:p w14:paraId="076221A0" w14:textId="77777777" w:rsidR="003C706A" w:rsidRPr="003C706A" w:rsidRDefault="003C706A" w:rsidP="006D1302">
      <w:pPr>
        <w:tabs>
          <w:tab w:val="left" w:pos="720"/>
        </w:tabs>
        <w:spacing w:line="232" w:lineRule="auto"/>
        <w:ind w:right="420"/>
        <w:rPr>
          <w:rFonts w:eastAsia="Arial"/>
          <w:bCs/>
          <w:sz w:val="22"/>
          <w:szCs w:val="22"/>
        </w:rPr>
      </w:pPr>
      <w:r w:rsidRPr="003C706A">
        <w:rPr>
          <w:rFonts w:eastAsia="Arial"/>
          <w:b/>
          <w:bCs/>
          <w:sz w:val="22"/>
          <w:szCs w:val="22"/>
        </w:rPr>
        <w:t>Now until May</w:t>
      </w:r>
      <w:r w:rsidRPr="003C706A">
        <w:rPr>
          <w:rFonts w:eastAsia="Arial"/>
          <w:bCs/>
          <w:sz w:val="22"/>
          <w:szCs w:val="22"/>
        </w:rPr>
        <w:t xml:space="preserve"> – information gathering</w:t>
      </w:r>
    </w:p>
    <w:p w14:paraId="5AB09ADD" w14:textId="77777777" w:rsidR="003C706A" w:rsidRPr="003C706A" w:rsidRDefault="003C706A" w:rsidP="003C706A">
      <w:pPr>
        <w:numPr>
          <w:ilvl w:val="1"/>
          <w:numId w:val="25"/>
        </w:numPr>
        <w:tabs>
          <w:tab w:val="left" w:pos="720"/>
        </w:tabs>
        <w:spacing w:line="232" w:lineRule="auto"/>
        <w:ind w:right="420"/>
        <w:rPr>
          <w:rFonts w:eastAsia="Arial"/>
          <w:bCs/>
          <w:sz w:val="22"/>
          <w:szCs w:val="22"/>
        </w:rPr>
      </w:pPr>
      <w:r w:rsidRPr="003C706A">
        <w:rPr>
          <w:rFonts w:eastAsia="Arial"/>
          <w:bCs/>
          <w:sz w:val="22"/>
          <w:szCs w:val="22"/>
        </w:rPr>
        <w:t>Public comment period</w:t>
      </w:r>
    </w:p>
    <w:p w14:paraId="443202C7" w14:textId="77777777" w:rsidR="003C706A" w:rsidRPr="003C706A" w:rsidRDefault="003C706A" w:rsidP="003C706A">
      <w:pPr>
        <w:numPr>
          <w:ilvl w:val="1"/>
          <w:numId w:val="25"/>
        </w:numPr>
        <w:tabs>
          <w:tab w:val="left" w:pos="720"/>
        </w:tabs>
        <w:spacing w:line="232" w:lineRule="auto"/>
        <w:ind w:right="420"/>
        <w:rPr>
          <w:rFonts w:eastAsia="Arial"/>
          <w:bCs/>
          <w:sz w:val="22"/>
          <w:szCs w:val="22"/>
        </w:rPr>
      </w:pPr>
      <w:r w:rsidRPr="003C706A">
        <w:rPr>
          <w:rFonts w:eastAsia="Arial"/>
          <w:bCs/>
          <w:sz w:val="22"/>
          <w:szCs w:val="22"/>
        </w:rPr>
        <w:t>Engagement with Climate Justice Working Group</w:t>
      </w:r>
    </w:p>
    <w:p w14:paraId="4DA154C0" w14:textId="77777777" w:rsidR="003C706A" w:rsidRPr="003C706A" w:rsidRDefault="003C706A" w:rsidP="003C706A">
      <w:pPr>
        <w:numPr>
          <w:ilvl w:val="1"/>
          <w:numId w:val="25"/>
        </w:numPr>
        <w:tabs>
          <w:tab w:val="left" w:pos="720"/>
        </w:tabs>
        <w:spacing w:line="232" w:lineRule="auto"/>
        <w:ind w:right="420"/>
        <w:rPr>
          <w:rFonts w:eastAsia="Arial"/>
          <w:bCs/>
          <w:sz w:val="22"/>
          <w:szCs w:val="22"/>
        </w:rPr>
      </w:pPr>
      <w:r w:rsidRPr="003C706A">
        <w:rPr>
          <w:rFonts w:eastAsia="Arial"/>
          <w:bCs/>
          <w:sz w:val="22"/>
          <w:szCs w:val="22"/>
        </w:rPr>
        <w:t>Develop &amp; launch communications &amp; educational materials</w:t>
      </w:r>
    </w:p>
    <w:p w14:paraId="413D1607" w14:textId="6482A7E3" w:rsidR="003C706A" w:rsidRDefault="003C706A" w:rsidP="003C706A">
      <w:pPr>
        <w:numPr>
          <w:ilvl w:val="1"/>
          <w:numId w:val="25"/>
        </w:numPr>
        <w:tabs>
          <w:tab w:val="left" w:pos="720"/>
        </w:tabs>
        <w:spacing w:line="232" w:lineRule="auto"/>
        <w:ind w:right="420"/>
        <w:rPr>
          <w:rFonts w:eastAsia="Arial"/>
          <w:bCs/>
          <w:sz w:val="22"/>
          <w:szCs w:val="22"/>
        </w:rPr>
      </w:pPr>
      <w:r w:rsidRPr="003C706A">
        <w:rPr>
          <w:rFonts w:eastAsia="Arial"/>
          <w:bCs/>
          <w:sz w:val="22"/>
          <w:szCs w:val="22"/>
        </w:rPr>
        <w:t xml:space="preserve">Expert engagement – natural gas transformation, alternative fuels, carbon pricing or other funding mechanisms, </w:t>
      </w:r>
      <w:proofErr w:type="gramStart"/>
      <w:r w:rsidRPr="003C706A">
        <w:rPr>
          <w:rFonts w:eastAsia="Arial"/>
          <w:bCs/>
          <w:sz w:val="22"/>
          <w:szCs w:val="22"/>
        </w:rPr>
        <w:t>timing</w:t>
      </w:r>
      <w:proofErr w:type="gramEnd"/>
      <w:r w:rsidRPr="003C706A">
        <w:rPr>
          <w:rFonts w:eastAsia="Arial"/>
          <w:bCs/>
          <w:sz w:val="22"/>
          <w:szCs w:val="22"/>
        </w:rPr>
        <w:t xml:space="preserve"> and sequencing. </w:t>
      </w:r>
    </w:p>
    <w:p w14:paraId="036F95BF" w14:textId="77777777" w:rsidR="006D1302" w:rsidRPr="003C706A" w:rsidRDefault="006D1302" w:rsidP="006D1302">
      <w:pPr>
        <w:tabs>
          <w:tab w:val="left" w:pos="720"/>
        </w:tabs>
        <w:spacing w:line="232" w:lineRule="auto"/>
        <w:ind w:left="1800" w:right="420"/>
        <w:rPr>
          <w:rFonts w:eastAsia="Arial"/>
          <w:bCs/>
          <w:sz w:val="22"/>
          <w:szCs w:val="22"/>
        </w:rPr>
      </w:pPr>
    </w:p>
    <w:p w14:paraId="5F82E0EF" w14:textId="77777777" w:rsidR="003C706A" w:rsidRPr="003C706A" w:rsidRDefault="003C706A" w:rsidP="006D1302">
      <w:pPr>
        <w:tabs>
          <w:tab w:val="left" w:pos="720"/>
        </w:tabs>
        <w:spacing w:line="232" w:lineRule="auto"/>
        <w:ind w:right="420"/>
        <w:rPr>
          <w:rFonts w:eastAsia="Arial"/>
          <w:bCs/>
          <w:sz w:val="22"/>
          <w:szCs w:val="22"/>
        </w:rPr>
      </w:pPr>
      <w:r w:rsidRPr="003C706A">
        <w:rPr>
          <w:rFonts w:eastAsia="Arial"/>
          <w:b/>
          <w:bCs/>
          <w:sz w:val="22"/>
          <w:szCs w:val="22"/>
        </w:rPr>
        <w:t>June to August –</w:t>
      </w:r>
      <w:r w:rsidRPr="003C706A">
        <w:rPr>
          <w:rFonts w:eastAsia="Arial"/>
          <w:bCs/>
          <w:sz w:val="22"/>
          <w:szCs w:val="22"/>
        </w:rPr>
        <w:t xml:space="preserve"> discussions &amp; deliberation</w:t>
      </w:r>
    </w:p>
    <w:p w14:paraId="3AFC1B39" w14:textId="77777777" w:rsidR="003C706A" w:rsidRPr="003C706A" w:rsidRDefault="003C706A" w:rsidP="006D1302">
      <w:pPr>
        <w:tabs>
          <w:tab w:val="left" w:pos="720"/>
        </w:tabs>
        <w:spacing w:line="232" w:lineRule="auto"/>
        <w:ind w:right="420"/>
        <w:rPr>
          <w:rFonts w:eastAsia="Arial"/>
          <w:bCs/>
          <w:sz w:val="22"/>
          <w:szCs w:val="22"/>
        </w:rPr>
      </w:pPr>
      <w:r w:rsidRPr="003C706A">
        <w:rPr>
          <w:rFonts w:eastAsia="Arial"/>
          <w:b/>
          <w:bCs/>
          <w:sz w:val="22"/>
          <w:szCs w:val="22"/>
        </w:rPr>
        <w:t>September to December</w:t>
      </w:r>
      <w:r w:rsidRPr="003C706A">
        <w:rPr>
          <w:rFonts w:eastAsia="Arial"/>
          <w:bCs/>
          <w:sz w:val="22"/>
          <w:szCs w:val="22"/>
        </w:rPr>
        <w:t xml:space="preserve"> – drafting and Scoping Plan finalization</w:t>
      </w:r>
    </w:p>
    <w:p w14:paraId="74AD30D9" w14:textId="77777777" w:rsidR="003C706A" w:rsidRPr="003C706A" w:rsidRDefault="003C706A" w:rsidP="003C706A">
      <w:pPr>
        <w:tabs>
          <w:tab w:val="left" w:pos="720"/>
        </w:tabs>
        <w:spacing w:line="232" w:lineRule="auto"/>
        <w:ind w:right="420"/>
        <w:rPr>
          <w:rFonts w:eastAsia="Arial"/>
          <w:bCs/>
          <w:sz w:val="22"/>
          <w:szCs w:val="22"/>
        </w:rPr>
      </w:pPr>
    </w:p>
    <w:p w14:paraId="3A1AC0C5" w14:textId="77777777" w:rsidR="00791CCB" w:rsidRDefault="00791CCB" w:rsidP="003C706A">
      <w:pPr>
        <w:tabs>
          <w:tab w:val="left" w:pos="720"/>
        </w:tabs>
        <w:spacing w:line="232" w:lineRule="auto"/>
        <w:ind w:right="420"/>
        <w:rPr>
          <w:rFonts w:eastAsia="Arial"/>
          <w:b/>
          <w:sz w:val="22"/>
          <w:szCs w:val="22"/>
        </w:rPr>
      </w:pPr>
    </w:p>
    <w:p w14:paraId="3337D830" w14:textId="3F1595A5" w:rsidR="003C706A" w:rsidRPr="003C706A" w:rsidRDefault="003C706A" w:rsidP="003C706A">
      <w:pPr>
        <w:tabs>
          <w:tab w:val="left" w:pos="720"/>
        </w:tabs>
        <w:spacing w:line="232" w:lineRule="auto"/>
        <w:ind w:right="420"/>
        <w:rPr>
          <w:rFonts w:eastAsia="Arial"/>
          <w:b/>
          <w:sz w:val="22"/>
          <w:szCs w:val="22"/>
        </w:rPr>
      </w:pPr>
      <w:r w:rsidRPr="003C706A">
        <w:rPr>
          <w:rFonts w:eastAsia="Arial"/>
          <w:b/>
          <w:sz w:val="22"/>
          <w:szCs w:val="22"/>
        </w:rPr>
        <w:t>New York State Public Service Commission</w:t>
      </w:r>
    </w:p>
    <w:p w14:paraId="006D7DE3" w14:textId="17E37BDC" w:rsidR="003C706A" w:rsidRDefault="003C706A" w:rsidP="003C706A">
      <w:pPr>
        <w:numPr>
          <w:ilvl w:val="0"/>
          <w:numId w:val="26"/>
        </w:numPr>
        <w:tabs>
          <w:tab w:val="left" w:pos="720"/>
        </w:tabs>
        <w:spacing w:line="232" w:lineRule="auto"/>
        <w:ind w:right="420"/>
        <w:rPr>
          <w:rFonts w:eastAsia="Arial"/>
          <w:bCs/>
          <w:sz w:val="22"/>
          <w:szCs w:val="22"/>
        </w:rPr>
      </w:pPr>
      <w:r w:rsidRPr="003C706A">
        <w:rPr>
          <w:rFonts w:eastAsia="Arial"/>
          <w:b/>
          <w:bCs/>
          <w:sz w:val="22"/>
          <w:szCs w:val="22"/>
        </w:rPr>
        <w:t>PSC’s Transmission Planning Proceeding – 20-E-0197</w:t>
      </w:r>
      <w:r w:rsidRPr="003C706A">
        <w:rPr>
          <w:rFonts w:eastAsia="Arial"/>
          <w:bCs/>
          <w:sz w:val="22"/>
          <w:szCs w:val="22"/>
        </w:rPr>
        <w:t xml:space="preserve">. In addition to OSW directives </w:t>
      </w:r>
      <w:proofErr w:type="gramStart"/>
      <w:r w:rsidRPr="003C706A">
        <w:rPr>
          <w:rFonts w:eastAsia="Arial"/>
          <w:bCs/>
          <w:sz w:val="22"/>
          <w:szCs w:val="22"/>
        </w:rPr>
        <w:t>above;</w:t>
      </w:r>
      <w:proofErr w:type="gramEnd"/>
      <w:r w:rsidRPr="003C706A">
        <w:rPr>
          <w:rFonts w:eastAsia="Arial"/>
          <w:bCs/>
          <w:sz w:val="22"/>
          <w:szCs w:val="22"/>
        </w:rPr>
        <w:t xml:space="preserve"> the Power Grid Study Order also directs Transmission Owners (TOs) to create a collaborative for integration of advanced technologies. It is required by July 2022. A committee will be formed to evaluate projects including TOs, Department Public Service, NYSERDA, and other market participants. MEUA is part of the committee formed. This will allow us to fully understand the expected planning process going forward and evaluate the impact on our municipal systems. </w:t>
      </w:r>
    </w:p>
    <w:p w14:paraId="0D135BE6" w14:textId="77777777" w:rsidR="00295B93" w:rsidRPr="003C706A" w:rsidRDefault="00295B93" w:rsidP="00295B93">
      <w:pPr>
        <w:tabs>
          <w:tab w:val="left" w:pos="720"/>
        </w:tabs>
        <w:spacing w:line="232" w:lineRule="auto"/>
        <w:ind w:left="720" w:right="420"/>
        <w:rPr>
          <w:rFonts w:eastAsia="Arial"/>
          <w:bCs/>
          <w:sz w:val="22"/>
          <w:szCs w:val="22"/>
        </w:rPr>
      </w:pPr>
    </w:p>
    <w:p w14:paraId="56E7427E" w14:textId="77777777" w:rsidR="003C706A" w:rsidRPr="003C706A" w:rsidRDefault="003C706A" w:rsidP="003C706A">
      <w:pPr>
        <w:tabs>
          <w:tab w:val="left" w:pos="720"/>
        </w:tabs>
        <w:spacing w:line="232" w:lineRule="auto"/>
        <w:ind w:right="420"/>
        <w:rPr>
          <w:rFonts w:eastAsia="Arial"/>
          <w:b/>
          <w:sz w:val="22"/>
          <w:szCs w:val="22"/>
        </w:rPr>
      </w:pPr>
      <w:r w:rsidRPr="003C706A">
        <w:rPr>
          <w:rFonts w:eastAsia="Arial"/>
          <w:b/>
          <w:sz w:val="22"/>
          <w:szCs w:val="22"/>
        </w:rPr>
        <w:t>NYSERDA</w:t>
      </w:r>
    </w:p>
    <w:p w14:paraId="00EEC0E3" w14:textId="77777777" w:rsidR="003C706A" w:rsidRPr="003C706A" w:rsidRDefault="003C706A" w:rsidP="003C706A">
      <w:pPr>
        <w:numPr>
          <w:ilvl w:val="0"/>
          <w:numId w:val="26"/>
        </w:numPr>
        <w:tabs>
          <w:tab w:val="left" w:pos="720"/>
        </w:tabs>
        <w:spacing w:line="232" w:lineRule="auto"/>
        <w:ind w:right="420"/>
        <w:rPr>
          <w:rFonts w:eastAsia="Arial"/>
          <w:b/>
          <w:sz w:val="22"/>
          <w:szCs w:val="22"/>
        </w:rPr>
      </w:pPr>
      <w:r w:rsidRPr="003C706A">
        <w:rPr>
          <w:rFonts w:eastAsia="Arial"/>
          <w:bCs/>
          <w:sz w:val="22"/>
          <w:szCs w:val="22"/>
        </w:rPr>
        <w:t xml:space="preserve">On March 9, New York State released the Draft Disadvantaged Communities Criteria to Advance Climate Justice Plan. The plan is subject to public hearings and a written comment period before finalized. The draft plan identified the official list of Disadvantaged Communities for consideration. This is important because these communities will receive up to 40% of clean energy benefits. The information distributed does identify some sections of our municipal systems that would qualify under the Disadvantaged Community Criteria Metrics utilized. Additional information is available at: </w:t>
      </w:r>
      <w:hyperlink r:id="rId11" w:history="1">
        <w:r w:rsidRPr="003C706A">
          <w:rPr>
            <w:rStyle w:val="Hyperlink"/>
            <w:rFonts w:eastAsia="Arial"/>
            <w:bCs/>
            <w:sz w:val="22"/>
            <w:szCs w:val="22"/>
          </w:rPr>
          <w:t>https://www.nyserda.ny.gov/About/Newsroom/2022-Announcements/2022-03-09-</w:t>
        </w:r>
        <w:r w:rsidRPr="003C706A">
          <w:rPr>
            <w:rStyle w:val="Hyperlink"/>
            <w:rFonts w:eastAsia="Arial"/>
            <w:bCs/>
            <w:sz w:val="22"/>
            <w:szCs w:val="22"/>
          </w:rPr>
          <w:t>New-York-State-Releases-Draft-Disadvantaged-Communities-Criteria</w:t>
        </w:r>
      </w:hyperlink>
    </w:p>
    <w:p w14:paraId="2BFACE08" w14:textId="77777777" w:rsidR="003C706A" w:rsidRPr="003C706A" w:rsidRDefault="003C706A" w:rsidP="003C706A">
      <w:pPr>
        <w:tabs>
          <w:tab w:val="left" w:pos="720"/>
        </w:tabs>
        <w:spacing w:line="232" w:lineRule="auto"/>
        <w:ind w:right="420"/>
        <w:rPr>
          <w:rFonts w:eastAsia="Arial"/>
          <w:b/>
          <w:bCs/>
          <w:sz w:val="22"/>
          <w:szCs w:val="22"/>
        </w:rPr>
      </w:pPr>
      <w:r w:rsidRPr="003C706A">
        <w:rPr>
          <w:rFonts w:eastAsia="Arial"/>
          <w:b/>
          <w:bCs/>
          <w:sz w:val="22"/>
          <w:szCs w:val="22"/>
        </w:rPr>
        <w:t>RGGI</w:t>
      </w:r>
    </w:p>
    <w:p w14:paraId="4FBEDDB9" w14:textId="77777777" w:rsidR="003C706A" w:rsidRPr="003C706A" w:rsidRDefault="003C706A" w:rsidP="003C706A">
      <w:pPr>
        <w:numPr>
          <w:ilvl w:val="0"/>
          <w:numId w:val="26"/>
        </w:numPr>
        <w:tabs>
          <w:tab w:val="left" w:pos="720"/>
        </w:tabs>
        <w:spacing w:line="232" w:lineRule="auto"/>
        <w:ind w:right="420"/>
        <w:rPr>
          <w:rFonts w:eastAsia="Arial"/>
          <w:bCs/>
          <w:sz w:val="22"/>
          <w:szCs w:val="22"/>
        </w:rPr>
      </w:pPr>
      <w:r w:rsidRPr="003C706A">
        <w:rPr>
          <w:rFonts w:eastAsia="Arial"/>
          <w:bCs/>
          <w:sz w:val="22"/>
          <w:szCs w:val="22"/>
        </w:rPr>
        <w:t>The eleven participating states in the Regional Greenhouse Gas Initiative (RGGI), the nation’s first market-based regulatory effort to reduce greenhouse gas (GHG) pollution, announced the results of their 55</w:t>
      </w:r>
      <w:r w:rsidRPr="003C706A">
        <w:rPr>
          <w:rFonts w:eastAsia="Arial"/>
          <w:bCs/>
          <w:sz w:val="22"/>
          <w:szCs w:val="22"/>
          <w:vertAlign w:val="superscript"/>
        </w:rPr>
        <w:t>th</w:t>
      </w:r>
      <w:r w:rsidRPr="003C706A">
        <w:rPr>
          <w:rFonts w:eastAsia="Arial"/>
          <w:bCs/>
          <w:sz w:val="22"/>
          <w:szCs w:val="22"/>
        </w:rPr>
        <w:t> auction of carbon dioxide (CO</w:t>
      </w:r>
      <w:r w:rsidRPr="003C706A">
        <w:rPr>
          <w:rFonts w:eastAsia="Arial"/>
          <w:bCs/>
          <w:sz w:val="22"/>
          <w:szCs w:val="22"/>
          <w:vertAlign w:val="subscript"/>
        </w:rPr>
        <w:t>2</w:t>
      </w:r>
      <w:r w:rsidRPr="003C706A">
        <w:rPr>
          <w:rFonts w:eastAsia="Arial"/>
          <w:bCs/>
          <w:sz w:val="22"/>
          <w:szCs w:val="22"/>
        </w:rPr>
        <w:t>) allowances on March 11. Virginia did participate in the recent auction. 21,761,269 CO</w:t>
      </w:r>
      <w:r w:rsidRPr="003C706A">
        <w:rPr>
          <w:rFonts w:eastAsia="Arial"/>
          <w:bCs/>
          <w:sz w:val="22"/>
          <w:szCs w:val="22"/>
          <w:vertAlign w:val="subscript"/>
        </w:rPr>
        <w:t>2</w:t>
      </w:r>
      <w:r w:rsidRPr="003C706A">
        <w:rPr>
          <w:rFonts w:eastAsia="Arial"/>
          <w:bCs/>
          <w:sz w:val="22"/>
          <w:szCs w:val="22"/>
        </w:rPr>
        <w:t xml:space="preserve"> allowances were sold at the auction at a </w:t>
      </w:r>
      <w:r w:rsidRPr="003C706A">
        <w:rPr>
          <w:rFonts w:eastAsia="Arial"/>
          <w:b/>
          <w:bCs/>
          <w:sz w:val="22"/>
          <w:szCs w:val="22"/>
        </w:rPr>
        <w:t>clearing price of $13.50</w:t>
      </w:r>
      <w:r w:rsidRPr="003C706A">
        <w:rPr>
          <w:rFonts w:eastAsia="Arial"/>
          <w:bCs/>
          <w:sz w:val="22"/>
          <w:szCs w:val="22"/>
        </w:rPr>
        <w:t>. Bids for the CO</w:t>
      </w:r>
      <w:r w:rsidRPr="003C706A">
        <w:rPr>
          <w:rFonts w:eastAsia="Arial"/>
          <w:bCs/>
          <w:sz w:val="22"/>
          <w:szCs w:val="22"/>
          <w:vertAlign w:val="subscript"/>
        </w:rPr>
        <w:t>2</w:t>
      </w:r>
      <w:r w:rsidRPr="003C706A">
        <w:rPr>
          <w:rFonts w:eastAsia="Arial"/>
          <w:bCs/>
          <w:sz w:val="22"/>
          <w:szCs w:val="22"/>
        </w:rPr>
        <w:t> allowances ranged from $2.44 to $30.00 per allowance. Additional details are available in the </w:t>
      </w:r>
      <w:hyperlink r:id="rId12" w:tgtFrame="_blank" w:history="1">
        <w:r w:rsidRPr="003C706A">
          <w:rPr>
            <w:rStyle w:val="Hyperlink"/>
            <w:rFonts w:eastAsia="Arial"/>
            <w:bCs/>
            <w:i/>
            <w:iCs/>
            <w:sz w:val="22"/>
            <w:szCs w:val="22"/>
          </w:rPr>
          <w:t>Market Monitor Report for Auction 55</w:t>
        </w:r>
      </w:hyperlink>
      <w:r w:rsidRPr="003C706A">
        <w:rPr>
          <w:rFonts w:eastAsia="Arial"/>
          <w:bCs/>
          <w:sz w:val="22"/>
          <w:szCs w:val="22"/>
        </w:rPr>
        <w:t xml:space="preserve">.    The RGGI Program is currently under a re-evaluation stage. The RGGI allowance monies collected are used for clean energy projects throughout the eleven states. New York State has its own RGGI Operating Plan. </w:t>
      </w:r>
      <w:r w:rsidRPr="003C706A">
        <w:rPr>
          <w:rFonts w:eastAsia="Arial"/>
          <w:bCs/>
          <w:sz w:val="22"/>
          <w:szCs w:val="22"/>
        </w:rPr>
        <w:br/>
      </w:r>
      <w:bookmarkEnd w:id="2"/>
    </w:p>
    <w:p w14:paraId="69446B4B" w14:textId="4D4BE0B6" w:rsidR="002B4600" w:rsidRPr="003C706A" w:rsidRDefault="00E170FC" w:rsidP="00F5582E">
      <w:pPr>
        <w:spacing w:before="100" w:beforeAutospacing="1" w:line="259" w:lineRule="auto"/>
        <w:rPr>
          <w:b/>
          <w:bCs/>
          <w:sz w:val="28"/>
          <w:szCs w:val="28"/>
        </w:rPr>
      </w:pPr>
      <w:r w:rsidRPr="003C706A">
        <w:rPr>
          <w:b/>
          <w:bCs/>
          <w:sz w:val="28"/>
          <w:szCs w:val="28"/>
        </w:rPr>
        <w:t>M</w:t>
      </w:r>
      <w:r w:rsidR="000306FC" w:rsidRPr="003C706A">
        <w:rPr>
          <w:b/>
          <w:bCs/>
          <w:sz w:val="28"/>
          <w:szCs w:val="28"/>
        </w:rPr>
        <w:t xml:space="preserve">EUA </w:t>
      </w:r>
      <w:r w:rsidR="00295B93">
        <w:rPr>
          <w:b/>
          <w:bCs/>
          <w:sz w:val="28"/>
          <w:szCs w:val="28"/>
        </w:rPr>
        <w:t xml:space="preserve">Municipal Member </w:t>
      </w:r>
      <w:r w:rsidR="000306FC" w:rsidRPr="003C706A">
        <w:rPr>
          <w:b/>
          <w:bCs/>
          <w:sz w:val="28"/>
          <w:szCs w:val="28"/>
        </w:rPr>
        <w:t>EMPLOYMENT AD</w:t>
      </w:r>
      <w:r w:rsidR="00295B93">
        <w:rPr>
          <w:b/>
          <w:bCs/>
          <w:sz w:val="28"/>
          <w:szCs w:val="28"/>
        </w:rPr>
        <w:t>VERTISEMENTS</w:t>
      </w:r>
      <w:r w:rsidR="00C61A20" w:rsidRPr="003C706A">
        <w:rPr>
          <w:b/>
          <w:bCs/>
          <w:sz w:val="28"/>
          <w:szCs w:val="28"/>
        </w:rPr>
        <w:t>:</w:t>
      </w:r>
    </w:p>
    <w:p w14:paraId="3D8E345F" w14:textId="72F89409" w:rsidR="00791CCB" w:rsidRDefault="00C61A20" w:rsidP="00F5582E">
      <w:pPr>
        <w:spacing w:after="160" w:line="259" w:lineRule="auto"/>
        <w:rPr>
          <w:rStyle w:val="Hyperlink"/>
          <w:b/>
          <w:bCs/>
        </w:rPr>
      </w:pPr>
      <w:r w:rsidRPr="003C706A">
        <w:rPr>
          <w:sz w:val="22"/>
          <w:szCs w:val="22"/>
        </w:rPr>
        <w:t>Full descriptions listed on our website —</w:t>
      </w:r>
      <w:r w:rsidRPr="003C706A">
        <w:rPr>
          <w:b/>
          <w:bCs/>
          <w:sz w:val="22"/>
          <w:szCs w:val="22"/>
        </w:rPr>
        <w:t xml:space="preserve"> </w:t>
      </w:r>
      <w:hyperlink r:id="rId13" w:history="1">
        <w:r w:rsidR="00E856E5" w:rsidRPr="003C706A">
          <w:rPr>
            <w:rStyle w:val="Hyperlink"/>
            <w:b/>
            <w:bCs/>
          </w:rPr>
          <w:t>www.meua.org</w:t>
        </w:r>
      </w:hyperlink>
    </w:p>
    <w:p w14:paraId="45540904" w14:textId="77777777" w:rsidR="00295B93" w:rsidRPr="00791CCB" w:rsidRDefault="00295B93" w:rsidP="00F5582E">
      <w:pPr>
        <w:spacing w:after="160" w:line="259" w:lineRule="auto"/>
        <w:rPr>
          <w:b/>
          <w:bCs/>
          <w:color w:val="0000FF"/>
          <w:u w:val="single"/>
        </w:rPr>
      </w:pPr>
    </w:p>
    <w:p w14:paraId="547A7DA6" w14:textId="1D2CE5FB" w:rsidR="00E34355" w:rsidRPr="003C706A" w:rsidRDefault="00E34355" w:rsidP="008C44AA">
      <w:pPr>
        <w:jc w:val="both"/>
        <w:rPr>
          <w:rFonts w:eastAsiaTheme="minorHAnsi"/>
          <w:b/>
          <w:bCs/>
          <w:sz w:val="28"/>
          <w:szCs w:val="28"/>
          <w:u w:val="single"/>
        </w:rPr>
      </w:pPr>
      <w:r w:rsidRPr="003C706A">
        <w:rPr>
          <w:rFonts w:eastAsiaTheme="minorHAnsi"/>
          <w:b/>
          <w:bCs/>
          <w:sz w:val="28"/>
          <w:szCs w:val="28"/>
          <w:u w:val="single"/>
        </w:rPr>
        <w:t>Skaneateles: Electric Line Leader</w:t>
      </w:r>
    </w:p>
    <w:p w14:paraId="577A9D24" w14:textId="77777777" w:rsidR="00E34355" w:rsidRPr="003C706A" w:rsidRDefault="00E34355" w:rsidP="008C44AA">
      <w:pPr>
        <w:jc w:val="both"/>
      </w:pPr>
      <w:r w:rsidRPr="003C706A">
        <w:t> </w:t>
      </w:r>
    </w:p>
    <w:p w14:paraId="7A333F04" w14:textId="42958CC2" w:rsidR="00E34355" w:rsidRPr="003C706A" w:rsidRDefault="00E34355" w:rsidP="00295B93">
      <w:pPr>
        <w:jc w:val="both"/>
      </w:pPr>
      <w:r w:rsidRPr="003C706A">
        <w:t>The Village of Skaneateles is seeking a full-time line leader for our electric department. This is a non-competitive civil service position involving overhead and underground work on our distribution system. Work will also involve other Village duties as necessary.</w:t>
      </w:r>
    </w:p>
    <w:p w14:paraId="00FE93D8" w14:textId="77777777" w:rsidR="00E34355" w:rsidRPr="003C706A" w:rsidRDefault="00E34355" w:rsidP="00295B93">
      <w:pPr>
        <w:jc w:val="both"/>
      </w:pPr>
    </w:p>
    <w:p w14:paraId="1B056402" w14:textId="7E45D068" w:rsidR="00E34355" w:rsidRPr="003C706A" w:rsidRDefault="00E34355" w:rsidP="00295B93">
      <w:pPr>
        <w:jc w:val="both"/>
      </w:pPr>
      <w:r w:rsidRPr="003C706A">
        <w:t>Qualifications include 4 years of Journeyman level work, with all certifications. Knowledge of distribution electric systems and substations. Ability to plan, develop strategies and implement ideas for crew leadership while performing line construction duties. Must have the ability to direct subordinate employees.</w:t>
      </w:r>
    </w:p>
    <w:p w14:paraId="59E36234" w14:textId="73F410D3" w:rsidR="00E34355" w:rsidRPr="003C706A" w:rsidRDefault="00E34355" w:rsidP="00295B93">
      <w:pPr>
        <w:jc w:val="both"/>
      </w:pPr>
      <w:r w:rsidRPr="003C706A">
        <w:t>This is a Union position with the benefits commensurate with negotiated contracts. Salary commensurate with contract.</w:t>
      </w:r>
    </w:p>
    <w:p w14:paraId="13949597" w14:textId="77777777" w:rsidR="00E34355" w:rsidRPr="003C706A" w:rsidRDefault="00E34355" w:rsidP="00295B93">
      <w:pPr>
        <w:jc w:val="both"/>
      </w:pPr>
    </w:p>
    <w:p w14:paraId="2B0B1E7F" w14:textId="1B2E53F9" w:rsidR="00E34355" w:rsidRPr="003C706A" w:rsidRDefault="00E34355" w:rsidP="00295B93">
      <w:pPr>
        <w:jc w:val="both"/>
      </w:pPr>
      <w:r w:rsidRPr="003C706A">
        <w:t>Mail resume to Laurie Walter, Village Clerk, 26 Fennell St., Skaneateles, NY 13152.</w:t>
      </w:r>
    </w:p>
    <w:p w14:paraId="5B5830DA" w14:textId="6156FA47" w:rsidR="00C15F0A" w:rsidRPr="003C706A" w:rsidRDefault="00C15F0A" w:rsidP="008C44AA">
      <w:pPr>
        <w:jc w:val="both"/>
      </w:pPr>
    </w:p>
    <w:p w14:paraId="1BFA8A4A" w14:textId="3CF9507F" w:rsidR="00C15F0A" w:rsidRPr="003C706A" w:rsidRDefault="00C15F0A" w:rsidP="00C15F0A">
      <w:pPr>
        <w:jc w:val="both"/>
        <w:rPr>
          <w:rFonts w:eastAsiaTheme="minorHAnsi"/>
          <w:b/>
          <w:bCs/>
          <w:sz w:val="28"/>
          <w:szCs w:val="28"/>
          <w:u w:val="single"/>
        </w:rPr>
      </w:pPr>
      <w:r w:rsidRPr="003C706A">
        <w:rPr>
          <w:rFonts w:eastAsiaTheme="minorHAnsi"/>
          <w:b/>
          <w:bCs/>
          <w:sz w:val="28"/>
          <w:szCs w:val="28"/>
          <w:u w:val="single"/>
        </w:rPr>
        <w:lastRenderedPageBreak/>
        <w:t xml:space="preserve">Penn Yan: Electric </w:t>
      </w:r>
      <w:proofErr w:type="spellStart"/>
      <w:r w:rsidRPr="003C706A">
        <w:rPr>
          <w:rFonts w:eastAsiaTheme="minorHAnsi"/>
          <w:b/>
          <w:bCs/>
          <w:sz w:val="28"/>
          <w:szCs w:val="28"/>
          <w:u w:val="single"/>
        </w:rPr>
        <w:t>Lineworker</w:t>
      </w:r>
      <w:proofErr w:type="spellEnd"/>
    </w:p>
    <w:p w14:paraId="60CC62E3" w14:textId="77777777" w:rsidR="00C15F0A" w:rsidRPr="003C706A" w:rsidRDefault="00C15F0A" w:rsidP="008C44AA">
      <w:pPr>
        <w:jc w:val="both"/>
        <w:rPr>
          <w:bCs/>
        </w:rPr>
      </w:pPr>
    </w:p>
    <w:p w14:paraId="5425F6C8" w14:textId="77777777" w:rsidR="00A84D89" w:rsidRPr="003C706A" w:rsidRDefault="00A84D89" w:rsidP="00A84D89">
      <w:pPr>
        <w:jc w:val="both"/>
        <w:rPr>
          <w:bCs/>
        </w:rPr>
      </w:pPr>
      <w:r w:rsidRPr="003C706A">
        <w:rPr>
          <w:bCs/>
        </w:rPr>
        <w:t xml:space="preserve">The Village of Penn Yan Municipal Electric Department is seeking candidates for the full-time position of an experienced Electric </w:t>
      </w:r>
      <w:proofErr w:type="spellStart"/>
      <w:r w:rsidRPr="003C706A">
        <w:rPr>
          <w:bCs/>
        </w:rPr>
        <w:t>Lineworker</w:t>
      </w:r>
      <w:proofErr w:type="spellEnd"/>
      <w:r w:rsidRPr="003C706A">
        <w:rPr>
          <w:bCs/>
        </w:rPr>
        <w:t>.</w:t>
      </w:r>
    </w:p>
    <w:p w14:paraId="4F793EA8" w14:textId="77777777" w:rsidR="00A84D89" w:rsidRPr="003C706A" w:rsidRDefault="00A84D89" w:rsidP="00A84D89">
      <w:pPr>
        <w:jc w:val="both"/>
        <w:rPr>
          <w:bCs/>
        </w:rPr>
      </w:pPr>
    </w:p>
    <w:p w14:paraId="1EEF648D" w14:textId="77777777" w:rsidR="00D8385D" w:rsidRPr="003C706A" w:rsidRDefault="00D8385D" w:rsidP="00A84D89">
      <w:pPr>
        <w:jc w:val="both"/>
        <w:rPr>
          <w:bCs/>
        </w:rPr>
      </w:pPr>
    </w:p>
    <w:p w14:paraId="7965915D" w14:textId="6893594A" w:rsidR="00A84D89" w:rsidRPr="003C706A" w:rsidRDefault="00A84D89" w:rsidP="00A84D89">
      <w:pPr>
        <w:jc w:val="both"/>
        <w:rPr>
          <w:bCs/>
        </w:rPr>
      </w:pPr>
      <w:r w:rsidRPr="003C706A">
        <w:rPr>
          <w:bCs/>
        </w:rPr>
        <w:t>Primary Responsibilities</w:t>
      </w:r>
    </w:p>
    <w:p w14:paraId="488690EC" w14:textId="77777777" w:rsidR="00A84D89" w:rsidRPr="003C706A" w:rsidRDefault="00A84D89" w:rsidP="00A84D89">
      <w:pPr>
        <w:jc w:val="both"/>
        <w:rPr>
          <w:bCs/>
        </w:rPr>
      </w:pPr>
    </w:p>
    <w:p w14:paraId="15252116" w14:textId="77777777" w:rsidR="00A84D89" w:rsidRPr="003C706A" w:rsidRDefault="00A84D89" w:rsidP="00D8385D">
      <w:pPr>
        <w:pStyle w:val="ListParagraph"/>
        <w:numPr>
          <w:ilvl w:val="0"/>
          <w:numId w:val="14"/>
        </w:numPr>
        <w:jc w:val="both"/>
        <w:rPr>
          <w:bCs/>
        </w:rPr>
      </w:pPr>
      <w:r w:rsidRPr="003C706A">
        <w:rPr>
          <w:bCs/>
        </w:rPr>
        <w:t>Engaged in any type of construction, operation or maintenance on distribution lines and associated equipment.</w:t>
      </w:r>
    </w:p>
    <w:p w14:paraId="7C99E296" w14:textId="77777777" w:rsidR="00A84D89" w:rsidRPr="003C706A" w:rsidRDefault="00A84D89" w:rsidP="00D8385D">
      <w:pPr>
        <w:pStyle w:val="ListParagraph"/>
        <w:numPr>
          <w:ilvl w:val="0"/>
          <w:numId w:val="14"/>
        </w:numPr>
        <w:jc w:val="both"/>
        <w:rPr>
          <w:bCs/>
        </w:rPr>
      </w:pPr>
      <w:r w:rsidRPr="003C706A">
        <w:rPr>
          <w:bCs/>
        </w:rPr>
        <w:t>Apply safety rules and regulations as they apply to line substation and service work.</w:t>
      </w:r>
    </w:p>
    <w:p w14:paraId="554DFCC0" w14:textId="77777777" w:rsidR="00A84D89" w:rsidRPr="003C706A" w:rsidRDefault="00A84D89" w:rsidP="00D8385D">
      <w:pPr>
        <w:pStyle w:val="ListParagraph"/>
        <w:numPr>
          <w:ilvl w:val="0"/>
          <w:numId w:val="14"/>
        </w:numPr>
        <w:jc w:val="both"/>
        <w:rPr>
          <w:bCs/>
        </w:rPr>
      </w:pPr>
      <w:r w:rsidRPr="003C706A">
        <w:rPr>
          <w:bCs/>
        </w:rPr>
        <w:t xml:space="preserve">Installs, inspect and repair poles, conductor, transformers, meters, </w:t>
      </w:r>
      <w:proofErr w:type="gramStart"/>
      <w:r w:rsidRPr="003C706A">
        <w:rPr>
          <w:bCs/>
        </w:rPr>
        <w:t>hardware</w:t>
      </w:r>
      <w:proofErr w:type="gramEnd"/>
      <w:r w:rsidRPr="003C706A">
        <w:rPr>
          <w:bCs/>
        </w:rPr>
        <w:t xml:space="preserve"> and other equipment on or near energized and de-energized lines in keeping with the appropriate specifications.</w:t>
      </w:r>
    </w:p>
    <w:p w14:paraId="7428DA87" w14:textId="77777777" w:rsidR="00A84D89" w:rsidRPr="003C706A" w:rsidRDefault="00A84D89" w:rsidP="00D8385D">
      <w:pPr>
        <w:pStyle w:val="ListParagraph"/>
        <w:numPr>
          <w:ilvl w:val="0"/>
          <w:numId w:val="14"/>
        </w:numPr>
        <w:jc w:val="both"/>
        <w:rPr>
          <w:bCs/>
        </w:rPr>
      </w:pPr>
      <w:r w:rsidRPr="003C706A">
        <w:rPr>
          <w:bCs/>
        </w:rPr>
        <w:t xml:space="preserve">Respond to outages to investigate, locate, analyze, correct </w:t>
      </w:r>
      <w:proofErr w:type="gramStart"/>
      <w:r w:rsidRPr="003C706A">
        <w:rPr>
          <w:bCs/>
        </w:rPr>
        <w:t>faults</w:t>
      </w:r>
      <w:proofErr w:type="gramEnd"/>
      <w:r w:rsidRPr="003C706A">
        <w:rPr>
          <w:bCs/>
        </w:rPr>
        <w:t xml:space="preserve"> and restore service on distribution equipment.</w:t>
      </w:r>
    </w:p>
    <w:p w14:paraId="241AD1BD" w14:textId="77777777" w:rsidR="00A84D89" w:rsidRPr="003C706A" w:rsidRDefault="00A84D89" w:rsidP="00D8385D">
      <w:pPr>
        <w:pStyle w:val="ListParagraph"/>
        <w:numPr>
          <w:ilvl w:val="0"/>
          <w:numId w:val="14"/>
        </w:numPr>
        <w:jc w:val="both"/>
        <w:rPr>
          <w:bCs/>
        </w:rPr>
      </w:pPr>
      <w:r w:rsidRPr="003C706A">
        <w:rPr>
          <w:bCs/>
        </w:rPr>
        <w:t>Perform line switching, including switching at a transformer or automatic air-switch station.</w:t>
      </w:r>
    </w:p>
    <w:p w14:paraId="5F7ED3CF" w14:textId="77777777" w:rsidR="00A84D89" w:rsidRPr="003C706A" w:rsidRDefault="00A84D89" w:rsidP="00D8385D">
      <w:pPr>
        <w:pStyle w:val="ListParagraph"/>
        <w:numPr>
          <w:ilvl w:val="0"/>
          <w:numId w:val="14"/>
        </w:numPr>
        <w:jc w:val="both"/>
        <w:rPr>
          <w:bCs/>
        </w:rPr>
      </w:pPr>
      <w:r w:rsidRPr="003C706A">
        <w:rPr>
          <w:bCs/>
        </w:rPr>
        <w:t>Reviews plans and specifications.</w:t>
      </w:r>
    </w:p>
    <w:p w14:paraId="64A50077" w14:textId="77777777" w:rsidR="00A84D89" w:rsidRPr="003C706A" w:rsidRDefault="00A84D89" w:rsidP="00D8385D">
      <w:pPr>
        <w:pStyle w:val="ListParagraph"/>
        <w:numPr>
          <w:ilvl w:val="0"/>
          <w:numId w:val="14"/>
        </w:numPr>
        <w:jc w:val="both"/>
        <w:rPr>
          <w:bCs/>
        </w:rPr>
      </w:pPr>
      <w:r w:rsidRPr="003C706A">
        <w:rPr>
          <w:bCs/>
        </w:rPr>
        <w:t>Inform supervisors of equipment and materials required to complete jobs.</w:t>
      </w:r>
    </w:p>
    <w:p w14:paraId="72BD206C" w14:textId="77777777" w:rsidR="00A84D89" w:rsidRPr="003C706A" w:rsidRDefault="00A84D89" w:rsidP="00D8385D">
      <w:pPr>
        <w:pStyle w:val="ListParagraph"/>
        <w:numPr>
          <w:ilvl w:val="0"/>
          <w:numId w:val="14"/>
        </w:numPr>
        <w:jc w:val="both"/>
        <w:rPr>
          <w:bCs/>
        </w:rPr>
      </w:pPr>
      <w:r w:rsidRPr="003C706A">
        <w:rPr>
          <w:bCs/>
        </w:rPr>
        <w:t>Trains other crew members in construction of electrical distribution systems.</w:t>
      </w:r>
    </w:p>
    <w:p w14:paraId="75CF31C1" w14:textId="77777777" w:rsidR="00A84D89" w:rsidRPr="003C706A" w:rsidRDefault="00A84D89" w:rsidP="00D8385D">
      <w:pPr>
        <w:pStyle w:val="ListParagraph"/>
        <w:numPr>
          <w:ilvl w:val="0"/>
          <w:numId w:val="14"/>
        </w:numPr>
        <w:jc w:val="both"/>
        <w:rPr>
          <w:bCs/>
        </w:rPr>
      </w:pPr>
      <w:r w:rsidRPr="003C706A">
        <w:rPr>
          <w:bCs/>
        </w:rPr>
        <w:t>Performs basic maintenance on equipment.</w:t>
      </w:r>
    </w:p>
    <w:p w14:paraId="727A7B35" w14:textId="34A33FB1" w:rsidR="00A84D89" w:rsidRPr="003C706A" w:rsidRDefault="00A84D89" w:rsidP="00D8385D">
      <w:pPr>
        <w:pStyle w:val="ListParagraph"/>
        <w:numPr>
          <w:ilvl w:val="0"/>
          <w:numId w:val="14"/>
        </w:numPr>
        <w:jc w:val="both"/>
        <w:rPr>
          <w:bCs/>
        </w:rPr>
      </w:pPr>
      <w:r w:rsidRPr="003C706A">
        <w:rPr>
          <w:bCs/>
        </w:rPr>
        <w:t>Other responsibilities as assigned.</w:t>
      </w:r>
    </w:p>
    <w:p w14:paraId="62851E94" w14:textId="77777777" w:rsidR="00A84D89" w:rsidRPr="003C706A" w:rsidRDefault="00A84D89" w:rsidP="00D8385D">
      <w:pPr>
        <w:pStyle w:val="ListParagraph"/>
        <w:numPr>
          <w:ilvl w:val="0"/>
          <w:numId w:val="15"/>
        </w:numPr>
        <w:jc w:val="both"/>
        <w:rPr>
          <w:bCs/>
        </w:rPr>
      </w:pPr>
      <w:r w:rsidRPr="003C706A">
        <w:rPr>
          <w:bCs/>
        </w:rPr>
        <w:t>New York State Disability Insurance</w:t>
      </w:r>
    </w:p>
    <w:p w14:paraId="08F4E6D7" w14:textId="77777777" w:rsidR="00A84D89" w:rsidRPr="003C706A" w:rsidRDefault="00A84D89" w:rsidP="00D8385D">
      <w:pPr>
        <w:pStyle w:val="ListParagraph"/>
        <w:numPr>
          <w:ilvl w:val="0"/>
          <w:numId w:val="15"/>
        </w:numPr>
        <w:jc w:val="both"/>
        <w:rPr>
          <w:bCs/>
        </w:rPr>
      </w:pPr>
      <w:r w:rsidRPr="003C706A">
        <w:rPr>
          <w:bCs/>
        </w:rPr>
        <w:t>12.5 paid holidays on top of time earned</w:t>
      </w:r>
    </w:p>
    <w:p w14:paraId="223625F9" w14:textId="77777777" w:rsidR="00A84D89" w:rsidRPr="003C706A" w:rsidRDefault="00A84D89" w:rsidP="00D8385D">
      <w:pPr>
        <w:pStyle w:val="ListParagraph"/>
        <w:numPr>
          <w:ilvl w:val="0"/>
          <w:numId w:val="15"/>
        </w:numPr>
        <w:jc w:val="both"/>
        <w:rPr>
          <w:bCs/>
        </w:rPr>
      </w:pPr>
      <w:r w:rsidRPr="003C706A">
        <w:rPr>
          <w:bCs/>
        </w:rPr>
        <w:t>NYS Employees Retirement System</w:t>
      </w:r>
    </w:p>
    <w:p w14:paraId="7ACDA2F3" w14:textId="53C0B03E" w:rsidR="00A84D89" w:rsidRPr="003C706A" w:rsidRDefault="00A84D89" w:rsidP="00D8385D">
      <w:pPr>
        <w:pStyle w:val="ListParagraph"/>
        <w:numPr>
          <w:ilvl w:val="0"/>
          <w:numId w:val="15"/>
        </w:numPr>
        <w:jc w:val="both"/>
        <w:rPr>
          <w:bCs/>
        </w:rPr>
      </w:pPr>
      <w:r w:rsidRPr="003C706A">
        <w:rPr>
          <w:bCs/>
        </w:rPr>
        <w:t>Flexible shifts Monday-Friday with on-call availability</w:t>
      </w:r>
    </w:p>
    <w:p w14:paraId="3DF14F1F" w14:textId="77777777" w:rsidR="00A84D89" w:rsidRPr="003C706A" w:rsidRDefault="00A84D89" w:rsidP="00A84D89">
      <w:pPr>
        <w:jc w:val="both"/>
        <w:rPr>
          <w:bCs/>
        </w:rPr>
      </w:pPr>
    </w:p>
    <w:p w14:paraId="6D752210" w14:textId="77777777" w:rsidR="00A84D89" w:rsidRPr="003C706A" w:rsidRDefault="00A84D89" w:rsidP="00A84D89">
      <w:pPr>
        <w:jc w:val="both"/>
        <w:rPr>
          <w:bCs/>
        </w:rPr>
      </w:pPr>
      <w:r w:rsidRPr="003C706A">
        <w:rPr>
          <w:bCs/>
        </w:rPr>
        <w:t xml:space="preserve">Keys to success include working effectively with a team, following safety protocol, being respectful to others, and having integrity and pride in your work. </w:t>
      </w:r>
    </w:p>
    <w:p w14:paraId="41A8BCCB" w14:textId="77777777" w:rsidR="00A84D89" w:rsidRPr="003C706A" w:rsidRDefault="00A84D89" w:rsidP="00A84D89">
      <w:pPr>
        <w:jc w:val="both"/>
        <w:rPr>
          <w:bCs/>
        </w:rPr>
      </w:pPr>
    </w:p>
    <w:p w14:paraId="015F90B1" w14:textId="77777777" w:rsidR="00A84D89" w:rsidRPr="003C706A" w:rsidRDefault="00A84D89" w:rsidP="00A84D89">
      <w:pPr>
        <w:jc w:val="both"/>
        <w:rPr>
          <w:bCs/>
        </w:rPr>
      </w:pPr>
      <w:r w:rsidRPr="003C706A">
        <w:rPr>
          <w:bCs/>
        </w:rPr>
        <w:t xml:space="preserve">Minimum qualifications include graduation from high school or possession of a high school equivalency diploma; AND four (4) years of full-time or equivalent part-time paid work experience as an Apprentice </w:t>
      </w:r>
      <w:proofErr w:type="spellStart"/>
      <w:r w:rsidRPr="003C706A">
        <w:rPr>
          <w:bCs/>
        </w:rPr>
        <w:t>Lineworker</w:t>
      </w:r>
      <w:proofErr w:type="spellEnd"/>
      <w:r w:rsidRPr="003C706A">
        <w:rPr>
          <w:bCs/>
        </w:rPr>
        <w:t xml:space="preserve"> on electric distribution systems; OR one (1) year of full-time or equivalent part-time paid work experience as an Electric Utility </w:t>
      </w:r>
      <w:proofErr w:type="spellStart"/>
      <w:r w:rsidRPr="003C706A">
        <w:rPr>
          <w:bCs/>
        </w:rPr>
        <w:t>Lineworker</w:t>
      </w:r>
      <w:proofErr w:type="spellEnd"/>
      <w:r w:rsidRPr="003C706A">
        <w:rPr>
          <w:bCs/>
        </w:rPr>
        <w:t xml:space="preserve">. (Must possess Qualified Electric Person (QEP)).  This is a competitive NYS Civil Service </w:t>
      </w:r>
      <w:r w:rsidRPr="003C706A">
        <w:rPr>
          <w:bCs/>
        </w:rPr>
        <w:t>position that is full time, 40 hours per week and subject to Civil Service rules for eligibility.</w:t>
      </w:r>
    </w:p>
    <w:p w14:paraId="4A3E7AB7" w14:textId="77777777" w:rsidR="00A84D89" w:rsidRPr="003C706A" w:rsidRDefault="00A84D89" w:rsidP="00A84D89">
      <w:pPr>
        <w:jc w:val="both"/>
        <w:rPr>
          <w:bCs/>
        </w:rPr>
      </w:pPr>
    </w:p>
    <w:p w14:paraId="59F6A2F6" w14:textId="77777777" w:rsidR="00A84D89" w:rsidRPr="003C706A" w:rsidRDefault="00A84D89" w:rsidP="00A84D89">
      <w:pPr>
        <w:jc w:val="both"/>
        <w:rPr>
          <w:bCs/>
        </w:rPr>
      </w:pPr>
      <w:r w:rsidRPr="003C706A">
        <w:rPr>
          <w:bCs/>
        </w:rPr>
        <w:t xml:space="preserve">Interested applicants should apply by Friday 2/21/2022 by </w:t>
      </w:r>
      <w:proofErr w:type="gramStart"/>
      <w:r w:rsidRPr="003C706A">
        <w:rPr>
          <w:bCs/>
        </w:rPr>
        <w:t>submitting an application</w:t>
      </w:r>
      <w:proofErr w:type="gramEnd"/>
      <w:r w:rsidRPr="003C706A">
        <w:rPr>
          <w:bCs/>
        </w:rPr>
        <w:t xml:space="preserve"> to the Yates County Personnel Office at 417 Liberty St, Penn Yan, NY 14527 or online at https://mycivilservice.yatescounty.org/jobopps.</w:t>
      </w:r>
    </w:p>
    <w:p w14:paraId="5C596733" w14:textId="77777777" w:rsidR="00A84D89" w:rsidRPr="003C706A" w:rsidRDefault="00A84D89" w:rsidP="00A84D89">
      <w:pPr>
        <w:jc w:val="both"/>
        <w:rPr>
          <w:bCs/>
        </w:rPr>
      </w:pPr>
    </w:p>
    <w:p w14:paraId="2FE67DCC" w14:textId="3E81999C" w:rsidR="00A84D89" w:rsidRPr="003C706A" w:rsidRDefault="00A84D89" w:rsidP="00A84D89">
      <w:pPr>
        <w:rPr>
          <w:rFonts w:eastAsiaTheme="minorHAnsi"/>
          <w:b/>
          <w:bCs/>
          <w:sz w:val="28"/>
          <w:szCs w:val="28"/>
          <w:u w:val="single"/>
        </w:rPr>
      </w:pPr>
      <w:r w:rsidRPr="003C706A">
        <w:rPr>
          <w:rFonts w:eastAsiaTheme="minorHAnsi"/>
          <w:b/>
          <w:bCs/>
          <w:sz w:val="28"/>
          <w:szCs w:val="28"/>
          <w:u w:val="single"/>
        </w:rPr>
        <w:t>Village of Churchville: Electric Dept. Bookkeeper</w:t>
      </w:r>
    </w:p>
    <w:p w14:paraId="60B46FCC" w14:textId="0531DF9F" w:rsidR="00F5582E" w:rsidRPr="003C706A" w:rsidRDefault="00F5582E" w:rsidP="00F5582E">
      <w:pPr>
        <w:jc w:val="both"/>
        <w:rPr>
          <w:bCs/>
        </w:rPr>
      </w:pPr>
    </w:p>
    <w:p w14:paraId="188BC9BC" w14:textId="77777777" w:rsidR="00F5582E" w:rsidRPr="003C706A" w:rsidRDefault="00F5582E" w:rsidP="00F5582E">
      <w:pPr>
        <w:jc w:val="both"/>
        <w:rPr>
          <w:bCs/>
        </w:rPr>
      </w:pPr>
    </w:p>
    <w:p w14:paraId="45C6DF01" w14:textId="77777777" w:rsidR="00F5582E" w:rsidRPr="003C706A" w:rsidRDefault="00F5582E" w:rsidP="00F5582E">
      <w:pPr>
        <w:jc w:val="both"/>
        <w:rPr>
          <w:bCs/>
        </w:rPr>
      </w:pPr>
      <w:r w:rsidRPr="003C706A">
        <w:rPr>
          <w:bCs/>
        </w:rPr>
        <w:t xml:space="preserve">The Village of Churchville is hiring a full-time Electric Bookkeeper to undertake a wide variety of electric booking duties, general ledger reconciliation, monthly utility billing, and various office duties.  </w:t>
      </w:r>
    </w:p>
    <w:p w14:paraId="7965FB8E" w14:textId="77777777" w:rsidR="00F5582E" w:rsidRPr="003C706A" w:rsidRDefault="00F5582E" w:rsidP="00F5582E">
      <w:pPr>
        <w:jc w:val="both"/>
        <w:rPr>
          <w:bCs/>
        </w:rPr>
      </w:pPr>
    </w:p>
    <w:p w14:paraId="587080C1" w14:textId="77777777" w:rsidR="00F5582E" w:rsidRPr="003C706A" w:rsidRDefault="00F5582E" w:rsidP="00F5582E">
      <w:pPr>
        <w:jc w:val="both"/>
        <w:rPr>
          <w:bCs/>
        </w:rPr>
      </w:pPr>
      <w:r w:rsidRPr="003C706A">
        <w:rPr>
          <w:bCs/>
        </w:rPr>
        <w:t>An Electric bookkeeper is well organized and professional with excellent communication skills.  The successful candidate will be a self-starter who is highly motivated and exhibits a demonstrated ability to learn. Two years’ experience in a fast-paced office environment using Microsoft Office (Word, Excel, Access, and Outlook) is required, along with a background in accounting. The ability to multi-task and prioritize work is a must.  The candidate will also have a strong attention to detail, possess excellent time management and problem-solving skills, and be reliable and patient. Experience in a municipal office environment is preferred.</w:t>
      </w:r>
    </w:p>
    <w:p w14:paraId="6F0843DA" w14:textId="77777777" w:rsidR="00F5582E" w:rsidRPr="003C706A" w:rsidRDefault="00F5582E" w:rsidP="00F5582E">
      <w:pPr>
        <w:jc w:val="both"/>
        <w:rPr>
          <w:bCs/>
        </w:rPr>
      </w:pPr>
    </w:p>
    <w:p w14:paraId="2B1FF6EF" w14:textId="77777777" w:rsidR="00F5582E" w:rsidRPr="003C706A" w:rsidRDefault="00F5582E" w:rsidP="00F5582E">
      <w:pPr>
        <w:jc w:val="both"/>
        <w:rPr>
          <w:bCs/>
        </w:rPr>
      </w:pPr>
      <w:r w:rsidRPr="003C706A">
        <w:rPr>
          <w:bCs/>
        </w:rPr>
        <w:t>The Village of Churchville offers a comprehensive benefits package including health, dental, and vision coverage, paid vacation and sick time, and New York State Retirement. Starting pay will be based on experience.</w:t>
      </w:r>
    </w:p>
    <w:p w14:paraId="045108AB" w14:textId="77777777" w:rsidR="00F5582E" w:rsidRPr="003C706A" w:rsidRDefault="00F5582E" w:rsidP="00F5582E">
      <w:pPr>
        <w:jc w:val="both"/>
        <w:rPr>
          <w:bCs/>
        </w:rPr>
      </w:pPr>
    </w:p>
    <w:p w14:paraId="33C6336E" w14:textId="2E3957A5" w:rsidR="00F5582E" w:rsidRPr="003C706A" w:rsidRDefault="00F5582E" w:rsidP="00F5582E">
      <w:pPr>
        <w:jc w:val="both"/>
        <w:rPr>
          <w:bCs/>
        </w:rPr>
      </w:pPr>
      <w:r w:rsidRPr="003C706A">
        <w:rPr>
          <w:bCs/>
        </w:rPr>
        <w:t xml:space="preserve">Applications are being accepted until </w:t>
      </w:r>
      <w:r w:rsidR="0072343D">
        <w:rPr>
          <w:bCs/>
        </w:rPr>
        <w:t>June 18,</w:t>
      </w:r>
      <w:r w:rsidRPr="003C706A">
        <w:rPr>
          <w:bCs/>
        </w:rPr>
        <w:t xml:space="preserve"> </w:t>
      </w:r>
      <w:proofErr w:type="gramStart"/>
      <w:r w:rsidRPr="003C706A">
        <w:rPr>
          <w:bCs/>
        </w:rPr>
        <w:t>2022</w:t>
      </w:r>
      <w:proofErr w:type="gramEnd"/>
      <w:r w:rsidRPr="003C706A">
        <w:rPr>
          <w:bCs/>
        </w:rPr>
        <w:t xml:space="preserve"> or until the position is filled. Applications and resumes may be brought to the Village Office or mailed to:</w:t>
      </w:r>
    </w:p>
    <w:p w14:paraId="55AFDC59" w14:textId="77777777" w:rsidR="00F5582E" w:rsidRPr="003C706A" w:rsidRDefault="00F5582E" w:rsidP="00F5582E">
      <w:pPr>
        <w:jc w:val="both"/>
        <w:rPr>
          <w:bCs/>
        </w:rPr>
      </w:pPr>
    </w:p>
    <w:p w14:paraId="56A536EB" w14:textId="77777777" w:rsidR="00F5582E" w:rsidRPr="003C706A" w:rsidRDefault="00F5582E" w:rsidP="00F5582E">
      <w:pPr>
        <w:jc w:val="both"/>
        <w:rPr>
          <w:bCs/>
        </w:rPr>
      </w:pPr>
      <w:r w:rsidRPr="003C706A">
        <w:rPr>
          <w:bCs/>
        </w:rPr>
        <w:t>Mayor John Hartman</w:t>
      </w:r>
    </w:p>
    <w:p w14:paraId="1B38C77D" w14:textId="77777777" w:rsidR="00F5582E" w:rsidRPr="003C706A" w:rsidRDefault="00F5582E" w:rsidP="00F5582E">
      <w:pPr>
        <w:jc w:val="both"/>
        <w:rPr>
          <w:bCs/>
        </w:rPr>
      </w:pPr>
      <w:r w:rsidRPr="003C706A">
        <w:rPr>
          <w:bCs/>
        </w:rPr>
        <w:t>Village of Churchville</w:t>
      </w:r>
    </w:p>
    <w:p w14:paraId="6C49D263" w14:textId="77777777" w:rsidR="00F5582E" w:rsidRPr="003C706A" w:rsidRDefault="00F5582E" w:rsidP="00F5582E">
      <w:pPr>
        <w:jc w:val="both"/>
        <w:rPr>
          <w:bCs/>
        </w:rPr>
      </w:pPr>
      <w:r w:rsidRPr="003C706A">
        <w:rPr>
          <w:bCs/>
        </w:rPr>
        <w:t>23 E Buffalo St</w:t>
      </w:r>
    </w:p>
    <w:p w14:paraId="671900D8" w14:textId="77777777" w:rsidR="00F5582E" w:rsidRPr="003C706A" w:rsidRDefault="00F5582E" w:rsidP="00F5582E">
      <w:pPr>
        <w:jc w:val="both"/>
        <w:rPr>
          <w:bCs/>
        </w:rPr>
      </w:pPr>
      <w:r w:rsidRPr="003C706A">
        <w:rPr>
          <w:bCs/>
        </w:rPr>
        <w:t>PO Box 613</w:t>
      </w:r>
    </w:p>
    <w:p w14:paraId="655C8990" w14:textId="2EB71034" w:rsidR="00F5582E" w:rsidRDefault="00F5582E" w:rsidP="00F5582E">
      <w:pPr>
        <w:jc w:val="both"/>
        <w:rPr>
          <w:bCs/>
        </w:rPr>
      </w:pPr>
      <w:r w:rsidRPr="003C706A">
        <w:rPr>
          <w:bCs/>
        </w:rPr>
        <w:t>Churchville, NY 14428</w:t>
      </w:r>
    </w:p>
    <w:p w14:paraId="3FF565BF" w14:textId="444D1578" w:rsidR="00295B93" w:rsidRDefault="00295B93" w:rsidP="00F5582E">
      <w:pPr>
        <w:jc w:val="both"/>
        <w:rPr>
          <w:bCs/>
        </w:rPr>
      </w:pPr>
    </w:p>
    <w:p w14:paraId="5C3D8890" w14:textId="3FACF2B3" w:rsidR="00295B93" w:rsidRDefault="00295B93" w:rsidP="00F5582E">
      <w:pPr>
        <w:jc w:val="both"/>
        <w:rPr>
          <w:bCs/>
        </w:rPr>
      </w:pPr>
    </w:p>
    <w:p w14:paraId="68E79691" w14:textId="178814D7" w:rsidR="00295B93" w:rsidRDefault="00295B93" w:rsidP="00F5582E">
      <w:pPr>
        <w:jc w:val="both"/>
        <w:rPr>
          <w:bCs/>
        </w:rPr>
      </w:pPr>
    </w:p>
    <w:p w14:paraId="5A943F9D" w14:textId="77777777" w:rsidR="00295B93" w:rsidRPr="003C706A" w:rsidRDefault="00295B93" w:rsidP="00F5582E">
      <w:pPr>
        <w:jc w:val="both"/>
        <w:rPr>
          <w:bCs/>
        </w:rPr>
      </w:pPr>
    </w:p>
    <w:bookmarkEnd w:id="1"/>
    <w:p w14:paraId="4677E4B5" w14:textId="732F926C" w:rsidR="00F5582E" w:rsidRPr="003C706A" w:rsidRDefault="00B57DB9" w:rsidP="00F5582E">
      <w:pPr>
        <w:jc w:val="both"/>
        <w:rPr>
          <w:b/>
        </w:rPr>
      </w:pPr>
      <w:r>
        <w:rPr>
          <w:b/>
        </w:rPr>
        <w:t>Registration Form</w:t>
      </w:r>
    </w:p>
    <w:sectPr w:rsidR="00F5582E" w:rsidRPr="003C706A" w:rsidSect="006D1302">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7ECF"/>
    <w:multiLevelType w:val="hybridMultilevel"/>
    <w:tmpl w:val="D580474E"/>
    <w:lvl w:ilvl="0" w:tplc="252EBE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F1085"/>
    <w:multiLevelType w:val="hybridMultilevel"/>
    <w:tmpl w:val="6FB043D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3A80B36"/>
    <w:multiLevelType w:val="hybridMultilevel"/>
    <w:tmpl w:val="758864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B469B6"/>
    <w:multiLevelType w:val="hybridMultilevel"/>
    <w:tmpl w:val="4C24538E"/>
    <w:lvl w:ilvl="0" w:tplc="252EBE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4362D"/>
    <w:multiLevelType w:val="hybridMultilevel"/>
    <w:tmpl w:val="326CC7AC"/>
    <w:lvl w:ilvl="0" w:tplc="252EBE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14412"/>
    <w:multiLevelType w:val="hybridMultilevel"/>
    <w:tmpl w:val="3F10DC0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412C6E"/>
    <w:multiLevelType w:val="hybridMultilevel"/>
    <w:tmpl w:val="338AC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616A67"/>
    <w:multiLevelType w:val="hybridMultilevel"/>
    <w:tmpl w:val="9A82FD6A"/>
    <w:lvl w:ilvl="0" w:tplc="252EBE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460736"/>
    <w:multiLevelType w:val="hybridMultilevel"/>
    <w:tmpl w:val="4C6647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54042"/>
    <w:multiLevelType w:val="hybridMultilevel"/>
    <w:tmpl w:val="6818DE0C"/>
    <w:lvl w:ilvl="0" w:tplc="252EBE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36381"/>
    <w:multiLevelType w:val="hybridMultilevel"/>
    <w:tmpl w:val="4C2C8A6C"/>
    <w:lvl w:ilvl="0" w:tplc="252EBE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048BB"/>
    <w:multiLevelType w:val="hybridMultilevel"/>
    <w:tmpl w:val="AA4C9EA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2" w15:restartNumberingAfterBreak="0">
    <w:nsid w:val="45342321"/>
    <w:multiLevelType w:val="hybridMultilevel"/>
    <w:tmpl w:val="BEF8A8FE"/>
    <w:lvl w:ilvl="0" w:tplc="85DE119A">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3" w15:restartNumberingAfterBreak="0">
    <w:nsid w:val="481A54E8"/>
    <w:multiLevelType w:val="hybridMultilevel"/>
    <w:tmpl w:val="1F1A90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8331E32"/>
    <w:multiLevelType w:val="hybridMultilevel"/>
    <w:tmpl w:val="5E9CDC7A"/>
    <w:lvl w:ilvl="0" w:tplc="252EBE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3B2286"/>
    <w:multiLevelType w:val="hybridMultilevel"/>
    <w:tmpl w:val="A920B75A"/>
    <w:lvl w:ilvl="0" w:tplc="252EBE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E48B8"/>
    <w:multiLevelType w:val="hybridMultilevel"/>
    <w:tmpl w:val="1C646F56"/>
    <w:lvl w:ilvl="0" w:tplc="252EBE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1D0991"/>
    <w:multiLevelType w:val="hybridMultilevel"/>
    <w:tmpl w:val="5DFCF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6CA3ED5"/>
    <w:multiLevelType w:val="hybridMultilevel"/>
    <w:tmpl w:val="94BA34AC"/>
    <w:lvl w:ilvl="0" w:tplc="252EBE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0D59B4"/>
    <w:multiLevelType w:val="hybridMultilevel"/>
    <w:tmpl w:val="20D874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AF20195"/>
    <w:multiLevelType w:val="hybridMultilevel"/>
    <w:tmpl w:val="ACF00678"/>
    <w:lvl w:ilvl="0" w:tplc="04090003">
      <w:start w:val="1"/>
      <w:numFmt w:val="bullet"/>
      <w:lvlText w:val="o"/>
      <w:lvlJc w:val="left"/>
      <w:pPr>
        <w:ind w:left="1215" w:hanging="360"/>
      </w:pPr>
      <w:rPr>
        <w:rFonts w:ascii="Courier New" w:hAnsi="Courier New" w:cs="Courier New" w:hint="default"/>
      </w:rPr>
    </w:lvl>
    <w:lvl w:ilvl="1" w:tplc="04090003">
      <w:start w:val="1"/>
      <w:numFmt w:val="bullet"/>
      <w:lvlText w:val="o"/>
      <w:lvlJc w:val="left"/>
      <w:pPr>
        <w:ind w:left="1935" w:hanging="360"/>
      </w:pPr>
      <w:rPr>
        <w:rFonts w:ascii="Courier New" w:hAnsi="Courier New" w:cs="Courier New" w:hint="default"/>
      </w:rPr>
    </w:lvl>
    <w:lvl w:ilvl="2" w:tplc="04090005">
      <w:start w:val="1"/>
      <w:numFmt w:val="bullet"/>
      <w:lvlText w:val=""/>
      <w:lvlJc w:val="left"/>
      <w:pPr>
        <w:ind w:left="2655" w:hanging="360"/>
      </w:pPr>
      <w:rPr>
        <w:rFonts w:ascii="Wingdings" w:hAnsi="Wingdings" w:hint="default"/>
      </w:rPr>
    </w:lvl>
    <w:lvl w:ilvl="3" w:tplc="04090001">
      <w:start w:val="1"/>
      <w:numFmt w:val="bullet"/>
      <w:lvlText w:val=""/>
      <w:lvlJc w:val="left"/>
      <w:pPr>
        <w:ind w:left="3375" w:hanging="360"/>
      </w:pPr>
      <w:rPr>
        <w:rFonts w:ascii="Symbol" w:hAnsi="Symbol" w:hint="default"/>
      </w:rPr>
    </w:lvl>
    <w:lvl w:ilvl="4" w:tplc="04090003">
      <w:start w:val="1"/>
      <w:numFmt w:val="bullet"/>
      <w:lvlText w:val="o"/>
      <w:lvlJc w:val="left"/>
      <w:pPr>
        <w:ind w:left="4095" w:hanging="360"/>
      </w:pPr>
      <w:rPr>
        <w:rFonts w:ascii="Courier New" w:hAnsi="Courier New" w:cs="Courier New" w:hint="default"/>
      </w:rPr>
    </w:lvl>
    <w:lvl w:ilvl="5" w:tplc="04090005">
      <w:start w:val="1"/>
      <w:numFmt w:val="bullet"/>
      <w:lvlText w:val=""/>
      <w:lvlJc w:val="left"/>
      <w:pPr>
        <w:ind w:left="4815" w:hanging="360"/>
      </w:pPr>
      <w:rPr>
        <w:rFonts w:ascii="Wingdings" w:hAnsi="Wingdings" w:hint="default"/>
      </w:rPr>
    </w:lvl>
    <w:lvl w:ilvl="6" w:tplc="04090001">
      <w:start w:val="1"/>
      <w:numFmt w:val="bullet"/>
      <w:lvlText w:val=""/>
      <w:lvlJc w:val="left"/>
      <w:pPr>
        <w:ind w:left="5535" w:hanging="360"/>
      </w:pPr>
      <w:rPr>
        <w:rFonts w:ascii="Symbol" w:hAnsi="Symbol" w:hint="default"/>
      </w:rPr>
    </w:lvl>
    <w:lvl w:ilvl="7" w:tplc="04090003">
      <w:start w:val="1"/>
      <w:numFmt w:val="bullet"/>
      <w:lvlText w:val="o"/>
      <w:lvlJc w:val="left"/>
      <w:pPr>
        <w:ind w:left="6255" w:hanging="360"/>
      </w:pPr>
      <w:rPr>
        <w:rFonts w:ascii="Courier New" w:hAnsi="Courier New" w:cs="Courier New" w:hint="default"/>
      </w:rPr>
    </w:lvl>
    <w:lvl w:ilvl="8" w:tplc="04090005">
      <w:start w:val="1"/>
      <w:numFmt w:val="bullet"/>
      <w:lvlText w:val=""/>
      <w:lvlJc w:val="left"/>
      <w:pPr>
        <w:ind w:left="6975" w:hanging="360"/>
      </w:pPr>
      <w:rPr>
        <w:rFonts w:ascii="Wingdings" w:hAnsi="Wingdings" w:hint="default"/>
      </w:rPr>
    </w:lvl>
  </w:abstractNum>
  <w:abstractNum w:abstractNumId="21" w15:restartNumberingAfterBreak="0">
    <w:nsid w:val="7347493C"/>
    <w:multiLevelType w:val="hybridMultilevel"/>
    <w:tmpl w:val="20B053A0"/>
    <w:lvl w:ilvl="0" w:tplc="252EBE40">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C50748"/>
    <w:multiLevelType w:val="hybridMultilevel"/>
    <w:tmpl w:val="10B8BABA"/>
    <w:lvl w:ilvl="0" w:tplc="252EBE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45303"/>
    <w:multiLevelType w:val="hybridMultilevel"/>
    <w:tmpl w:val="B3F2C3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7A08589E"/>
    <w:multiLevelType w:val="hybridMultilevel"/>
    <w:tmpl w:val="110E972C"/>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5" w15:restartNumberingAfterBreak="0">
    <w:nsid w:val="7C9B1724"/>
    <w:multiLevelType w:val="hybridMultilevel"/>
    <w:tmpl w:val="0234F6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7CEC4F66"/>
    <w:multiLevelType w:val="multilevel"/>
    <w:tmpl w:val="AA6C7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67031869">
    <w:abstractNumId w:val="12"/>
  </w:num>
  <w:num w:numId="2" w16cid:durableId="762264786">
    <w:abstractNumId w:val="11"/>
  </w:num>
  <w:num w:numId="3" w16cid:durableId="187573130">
    <w:abstractNumId w:val="24"/>
  </w:num>
  <w:num w:numId="4" w16cid:durableId="238950339">
    <w:abstractNumId w:val="3"/>
  </w:num>
  <w:num w:numId="5" w16cid:durableId="1051346890">
    <w:abstractNumId w:val="14"/>
  </w:num>
  <w:num w:numId="6" w16cid:durableId="185363996">
    <w:abstractNumId w:val="9"/>
  </w:num>
  <w:num w:numId="7" w16cid:durableId="185608323">
    <w:abstractNumId w:val="10"/>
  </w:num>
  <w:num w:numId="8" w16cid:durableId="734402774">
    <w:abstractNumId w:val="16"/>
  </w:num>
  <w:num w:numId="9" w16cid:durableId="1232932968">
    <w:abstractNumId w:val="18"/>
  </w:num>
  <w:num w:numId="10" w16cid:durableId="1462304918">
    <w:abstractNumId w:val="21"/>
  </w:num>
  <w:num w:numId="11" w16cid:durableId="1283070005">
    <w:abstractNumId w:val="0"/>
  </w:num>
  <w:num w:numId="12" w16cid:durableId="1576167195">
    <w:abstractNumId w:val="7"/>
  </w:num>
  <w:num w:numId="13" w16cid:durableId="1774280288">
    <w:abstractNumId w:val="22"/>
  </w:num>
  <w:num w:numId="14" w16cid:durableId="1987397029">
    <w:abstractNumId w:val="15"/>
  </w:num>
  <w:num w:numId="15" w16cid:durableId="595990314">
    <w:abstractNumId w:val="4"/>
  </w:num>
  <w:num w:numId="16" w16cid:durableId="6642411">
    <w:abstractNumId w:val="23"/>
  </w:num>
  <w:num w:numId="17" w16cid:durableId="657660999">
    <w:abstractNumId w:val="25"/>
  </w:num>
  <w:num w:numId="18" w16cid:durableId="253975041">
    <w:abstractNumId w:val="17"/>
  </w:num>
  <w:num w:numId="19" w16cid:durableId="1115102858">
    <w:abstractNumId w:val="6"/>
  </w:num>
  <w:num w:numId="20" w16cid:durableId="1499424886">
    <w:abstractNumId w:val="26"/>
  </w:num>
  <w:num w:numId="21" w16cid:durableId="1022365875">
    <w:abstractNumId w:val="2"/>
  </w:num>
  <w:num w:numId="22" w16cid:durableId="1940141628">
    <w:abstractNumId w:val="5"/>
  </w:num>
  <w:num w:numId="23" w16cid:durableId="1206796434">
    <w:abstractNumId w:val="20"/>
  </w:num>
  <w:num w:numId="24" w16cid:durableId="773134892">
    <w:abstractNumId w:val="13"/>
  </w:num>
  <w:num w:numId="25" w16cid:durableId="58485359">
    <w:abstractNumId w:val="1"/>
  </w:num>
  <w:num w:numId="26" w16cid:durableId="1160804398">
    <w:abstractNumId w:val="19"/>
  </w:num>
  <w:num w:numId="27" w16cid:durableId="1089422118">
    <w:abstractNumId w:val="1"/>
  </w:num>
  <w:num w:numId="28" w16cid:durableId="43412074">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A3"/>
    <w:rsid w:val="000027E8"/>
    <w:rsid w:val="00017843"/>
    <w:rsid w:val="000206A2"/>
    <w:rsid w:val="000273EF"/>
    <w:rsid w:val="000306FC"/>
    <w:rsid w:val="00032640"/>
    <w:rsid w:val="00032A6B"/>
    <w:rsid w:val="00033CA7"/>
    <w:rsid w:val="000522A3"/>
    <w:rsid w:val="00067F78"/>
    <w:rsid w:val="00091366"/>
    <w:rsid w:val="00095029"/>
    <w:rsid w:val="000A0DC4"/>
    <w:rsid w:val="000A23B8"/>
    <w:rsid w:val="000A7F54"/>
    <w:rsid w:val="000B0DDB"/>
    <w:rsid w:val="000B7EB2"/>
    <w:rsid w:val="000C4246"/>
    <w:rsid w:val="000D531A"/>
    <w:rsid w:val="0010286E"/>
    <w:rsid w:val="0010466E"/>
    <w:rsid w:val="00105344"/>
    <w:rsid w:val="00112721"/>
    <w:rsid w:val="00116191"/>
    <w:rsid w:val="00123A0A"/>
    <w:rsid w:val="00141A80"/>
    <w:rsid w:val="001540A3"/>
    <w:rsid w:val="00161DBD"/>
    <w:rsid w:val="00173990"/>
    <w:rsid w:val="00182409"/>
    <w:rsid w:val="00184E70"/>
    <w:rsid w:val="00190FFA"/>
    <w:rsid w:val="00193B17"/>
    <w:rsid w:val="001A3688"/>
    <w:rsid w:val="001A5838"/>
    <w:rsid w:val="001B1480"/>
    <w:rsid w:val="001B296E"/>
    <w:rsid w:val="001B3A20"/>
    <w:rsid w:val="001C55C1"/>
    <w:rsid w:val="001C7107"/>
    <w:rsid w:val="001E23D2"/>
    <w:rsid w:val="001E481A"/>
    <w:rsid w:val="001F2158"/>
    <w:rsid w:val="001F7B46"/>
    <w:rsid w:val="00214BD2"/>
    <w:rsid w:val="00220F2C"/>
    <w:rsid w:val="002246C1"/>
    <w:rsid w:val="002259E4"/>
    <w:rsid w:val="00232418"/>
    <w:rsid w:val="00234FC6"/>
    <w:rsid w:val="00252537"/>
    <w:rsid w:val="0025340A"/>
    <w:rsid w:val="00262179"/>
    <w:rsid w:val="00282845"/>
    <w:rsid w:val="002855BF"/>
    <w:rsid w:val="00286CEA"/>
    <w:rsid w:val="002873BC"/>
    <w:rsid w:val="00293B1F"/>
    <w:rsid w:val="00295B93"/>
    <w:rsid w:val="002A4033"/>
    <w:rsid w:val="002A6FE6"/>
    <w:rsid w:val="002B4600"/>
    <w:rsid w:val="002B693F"/>
    <w:rsid w:val="002E5CFE"/>
    <w:rsid w:val="002F3F56"/>
    <w:rsid w:val="002F74AF"/>
    <w:rsid w:val="00303FB2"/>
    <w:rsid w:val="003050DE"/>
    <w:rsid w:val="00314EE1"/>
    <w:rsid w:val="00320667"/>
    <w:rsid w:val="00321765"/>
    <w:rsid w:val="00325B88"/>
    <w:rsid w:val="00361107"/>
    <w:rsid w:val="003623FD"/>
    <w:rsid w:val="003646BB"/>
    <w:rsid w:val="00371EF8"/>
    <w:rsid w:val="00380CB8"/>
    <w:rsid w:val="003820C9"/>
    <w:rsid w:val="00387036"/>
    <w:rsid w:val="00391D19"/>
    <w:rsid w:val="003926AC"/>
    <w:rsid w:val="003A2562"/>
    <w:rsid w:val="003A46AD"/>
    <w:rsid w:val="003C1F56"/>
    <w:rsid w:val="003C4E73"/>
    <w:rsid w:val="003C706A"/>
    <w:rsid w:val="003D7761"/>
    <w:rsid w:val="003E0C29"/>
    <w:rsid w:val="003E2506"/>
    <w:rsid w:val="00404B05"/>
    <w:rsid w:val="00425FB4"/>
    <w:rsid w:val="004464AF"/>
    <w:rsid w:val="00446E25"/>
    <w:rsid w:val="0045614A"/>
    <w:rsid w:val="004709FD"/>
    <w:rsid w:val="0047314D"/>
    <w:rsid w:val="00475F56"/>
    <w:rsid w:val="0048286C"/>
    <w:rsid w:val="00484A3C"/>
    <w:rsid w:val="0048636B"/>
    <w:rsid w:val="00491F1A"/>
    <w:rsid w:val="00494240"/>
    <w:rsid w:val="004942EA"/>
    <w:rsid w:val="004A3520"/>
    <w:rsid w:val="004B5979"/>
    <w:rsid w:val="004C5276"/>
    <w:rsid w:val="004D2658"/>
    <w:rsid w:val="004E2817"/>
    <w:rsid w:val="004F456C"/>
    <w:rsid w:val="005014E3"/>
    <w:rsid w:val="005024FD"/>
    <w:rsid w:val="00516075"/>
    <w:rsid w:val="00517581"/>
    <w:rsid w:val="0051782F"/>
    <w:rsid w:val="00524AE9"/>
    <w:rsid w:val="00525CF3"/>
    <w:rsid w:val="00531A94"/>
    <w:rsid w:val="00534420"/>
    <w:rsid w:val="0053543D"/>
    <w:rsid w:val="00542E57"/>
    <w:rsid w:val="005471F4"/>
    <w:rsid w:val="00552225"/>
    <w:rsid w:val="00554781"/>
    <w:rsid w:val="00556E89"/>
    <w:rsid w:val="00566F32"/>
    <w:rsid w:val="005722A5"/>
    <w:rsid w:val="005727D8"/>
    <w:rsid w:val="00573DC7"/>
    <w:rsid w:val="005807A7"/>
    <w:rsid w:val="00581A99"/>
    <w:rsid w:val="00584F09"/>
    <w:rsid w:val="005A43C9"/>
    <w:rsid w:val="005B477A"/>
    <w:rsid w:val="005B4883"/>
    <w:rsid w:val="005B68C1"/>
    <w:rsid w:val="005B7B08"/>
    <w:rsid w:val="005C6DED"/>
    <w:rsid w:val="005C7E5A"/>
    <w:rsid w:val="005D2C0B"/>
    <w:rsid w:val="005D313E"/>
    <w:rsid w:val="005D4299"/>
    <w:rsid w:val="005D49C5"/>
    <w:rsid w:val="005D7413"/>
    <w:rsid w:val="005F700E"/>
    <w:rsid w:val="005F7EEE"/>
    <w:rsid w:val="00612557"/>
    <w:rsid w:val="0062641F"/>
    <w:rsid w:val="006274EF"/>
    <w:rsid w:val="00642985"/>
    <w:rsid w:val="006503AF"/>
    <w:rsid w:val="00650FB8"/>
    <w:rsid w:val="00654550"/>
    <w:rsid w:val="00667732"/>
    <w:rsid w:val="0067167E"/>
    <w:rsid w:val="00673D4E"/>
    <w:rsid w:val="00675189"/>
    <w:rsid w:val="00692B33"/>
    <w:rsid w:val="006A30D6"/>
    <w:rsid w:val="006A66E4"/>
    <w:rsid w:val="006B09CA"/>
    <w:rsid w:val="006B3F22"/>
    <w:rsid w:val="006B74B0"/>
    <w:rsid w:val="006C2F1D"/>
    <w:rsid w:val="006C4DC2"/>
    <w:rsid w:val="006C5AF5"/>
    <w:rsid w:val="006C73F5"/>
    <w:rsid w:val="006D1302"/>
    <w:rsid w:val="006D1F25"/>
    <w:rsid w:val="006D53D3"/>
    <w:rsid w:val="006E3442"/>
    <w:rsid w:val="006E5097"/>
    <w:rsid w:val="006F08F1"/>
    <w:rsid w:val="006F0D7A"/>
    <w:rsid w:val="006F185B"/>
    <w:rsid w:val="006F5B2F"/>
    <w:rsid w:val="007034A1"/>
    <w:rsid w:val="00707394"/>
    <w:rsid w:val="00715488"/>
    <w:rsid w:val="007172EC"/>
    <w:rsid w:val="00721CDD"/>
    <w:rsid w:val="00723196"/>
    <w:rsid w:val="0072343D"/>
    <w:rsid w:val="007243A2"/>
    <w:rsid w:val="0072517C"/>
    <w:rsid w:val="007302AF"/>
    <w:rsid w:val="0073044B"/>
    <w:rsid w:val="00732D66"/>
    <w:rsid w:val="007349B1"/>
    <w:rsid w:val="00735104"/>
    <w:rsid w:val="00741056"/>
    <w:rsid w:val="00743ABE"/>
    <w:rsid w:val="00746D7D"/>
    <w:rsid w:val="00750AD5"/>
    <w:rsid w:val="00760E38"/>
    <w:rsid w:val="00761BA2"/>
    <w:rsid w:val="007634CA"/>
    <w:rsid w:val="00766572"/>
    <w:rsid w:val="00774D87"/>
    <w:rsid w:val="00775CD5"/>
    <w:rsid w:val="00783C86"/>
    <w:rsid w:val="00791025"/>
    <w:rsid w:val="00791CCB"/>
    <w:rsid w:val="00793750"/>
    <w:rsid w:val="00797D03"/>
    <w:rsid w:val="007A2DC0"/>
    <w:rsid w:val="007A6705"/>
    <w:rsid w:val="007A79F8"/>
    <w:rsid w:val="007B7AAD"/>
    <w:rsid w:val="007C08E3"/>
    <w:rsid w:val="007C6A40"/>
    <w:rsid w:val="007C79F7"/>
    <w:rsid w:val="007D06D5"/>
    <w:rsid w:val="007D3EB2"/>
    <w:rsid w:val="007E51C4"/>
    <w:rsid w:val="007E7258"/>
    <w:rsid w:val="007F6F1E"/>
    <w:rsid w:val="00801AD1"/>
    <w:rsid w:val="00816F46"/>
    <w:rsid w:val="008200D5"/>
    <w:rsid w:val="0082078D"/>
    <w:rsid w:val="00827822"/>
    <w:rsid w:val="008338FA"/>
    <w:rsid w:val="00833A85"/>
    <w:rsid w:val="00834B4F"/>
    <w:rsid w:val="008458F9"/>
    <w:rsid w:val="00863FC4"/>
    <w:rsid w:val="0088744A"/>
    <w:rsid w:val="00891220"/>
    <w:rsid w:val="008A33D6"/>
    <w:rsid w:val="008A3B2C"/>
    <w:rsid w:val="008B45E0"/>
    <w:rsid w:val="008C44AA"/>
    <w:rsid w:val="008C4BAA"/>
    <w:rsid w:val="008D2170"/>
    <w:rsid w:val="008D3853"/>
    <w:rsid w:val="008E06CD"/>
    <w:rsid w:val="008F0319"/>
    <w:rsid w:val="008F7F09"/>
    <w:rsid w:val="00906D5E"/>
    <w:rsid w:val="009114E3"/>
    <w:rsid w:val="009169F1"/>
    <w:rsid w:val="0092012D"/>
    <w:rsid w:val="00921D0E"/>
    <w:rsid w:val="00923F9F"/>
    <w:rsid w:val="00932A49"/>
    <w:rsid w:val="00937F47"/>
    <w:rsid w:val="00940EF8"/>
    <w:rsid w:val="00945754"/>
    <w:rsid w:val="00947E83"/>
    <w:rsid w:val="00953571"/>
    <w:rsid w:val="009567A8"/>
    <w:rsid w:val="0096276F"/>
    <w:rsid w:val="009719AA"/>
    <w:rsid w:val="00972779"/>
    <w:rsid w:val="0097688D"/>
    <w:rsid w:val="00992307"/>
    <w:rsid w:val="00992C83"/>
    <w:rsid w:val="009A0560"/>
    <w:rsid w:val="009A441E"/>
    <w:rsid w:val="009C0FB6"/>
    <w:rsid w:val="009C3015"/>
    <w:rsid w:val="009C7DD7"/>
    <w:rsid w:val="009D0A27"/>
    <w:rsid w:val="009D156C"/>
    <w:rsid w:val="009D24E5"/>
    <w:rsid w:val="009D2D92"/>
    <w:rsid w:val="009E3357"/>
    <w:rsid w:val="009E54DB"/>
    <w:rsid w:val="009E568D"/>
    <w:rsid w:val="009F06FD"/>
    <w:rsid w:val="009F1D4C"/>
    <w:rsid w:val="00A0742C"/>
    <w:rsid w:val="00A10C9D"/>
    <w:rsid w:val="00A35D6A"/>
    <w:rsid w:val="00A444F3"/>
    <w:rsid w:val="00A57B79"/>
    <w:rsid w:val="00A66584"/>
    <w:rsid w:val="00A71D07"/>
    <w:rsid w:val="00A732B0"/>
    <w:rsid w:val="00A7411F"/>
    <w:rsid w:val="00A81A7D"/>
    <w:rsid w:val="00A832B0"/>
    <w:rsid w:val="00A84D89"/>
    <w:rsid w:val="00A927F8"/>
    <w:rsid w:val="00AA793F"/>
    <w:rsid w:val="00AB0046"/>
    <w:rsid w:val="00AB5D94"/>
    <w:rsid w:val="00AC599D"/>
    <w:rsid w:val="00AD38DE"/>
    <w:rsid w:val="00AD4A72"/>
    <w:rsid w:val="00AD4EC1"/>
    <w:rsid w:val="00AE32C8"/>
    <w:rsid w:val="00AE4708"/>
    <w:rsid w:val="00AF332B"/>
    <w:rsid w:val="00B21565"/>
    <w:rsid w:val="00B3277E"/>
    <w:rsid w:val="00B33526"/>
    <w:rsid w:val="00B33684"/>
    <w:rsid w:val="00B33990"/>
    <w:rsid w:val="00B33992"/>
    <w:rsid w:val="00B453FF"/>
    <w:rsid w:val="00B50852"/>
    <w:rsid w:val="00B56584"/>
    <w:rsid w:val="00B57DB9"/>
    <w:rsid w:val="00B60A5B"/>
    <w:rsid w:val="00BA1731"/>
    <w:rsid w:val="00BA49AB"/>
    <w:rsid w:val="00BB4445"/>
    <w:rsid w:val="00BC3FA8"/>
    <w:rsid w:val="00BC616E"/>
    <w:rsid w:val="00BC76F2"/>
    <w:rsid w:val="00BE0020"/>
    <w:rsid w:val="00BE5D09"/>
    <w:rsid w:val="00C0072E"/>
    <w:rsid w:val="00C11C48"/>
    <w:rsid w:val="00C12047"/>
    <w:rsid w:val="00C125FF"/>
    <w:rsid w:val="00C13C6C"/>
    <w:rsid w:val="00C14009"/>
    <w:rsid w:val="00C15F0A"/>
    <w:rsid w:val="00C2542F"/>
    <w:rsid w:val="00C25772"/>
    <w:rsid w:val="00C36512"/>
    <w:rsid w:val="00C517A3"/>
    <w:rsid w:val="00C527A6"/>
    <w:rsid w:val="00C55A25"/>
    <w:rsid w:val="00C61A20"/>
    <w:rsid w:val="00C63C47"/>
    <w:rsid w:val="00C63E14"/>
    <w:rsid w:val="00C65582"/>
    <w:rsid w:val="00C71530"/>
    <w:rsid w:val="00C72869"/>
    <w:rsid w:val="00C81B53"/>
    <w:rsid w:val="00C872D0"/>
    <w:rsid w:val="00C90BB3"/>
    <w:rsid w:val="00CA4BD0"/>
    <w:rsid w:val="00CB44B5"/>
    <w:rsid w:val="00CB44C2"/>
    <w:rsid w:val="00CD44BB"/>
    <w:rsid w:val="00CE279F"/>
    <w:rsid w:val="00CF3E1E"/>
    <w:rsid w:val="00CF63BD"/>
    <w:rsid w:val="00D03147"/>
    <w:rsid w:val="00D04A7E"/>
    <w:rsid w:val="00D05E92"/>
    <w:rsid w:val="00D14795"/>
    <w:rsid w:val="00D25A14"/>
    <w:rsid w:val="00D26BC2"/>
    <w:rsid w:val="00D52650"/>
    <w:rsid w:val="00D5356C"/>
    <w:rsid w:val="00D648D3"/>
    <w:rsid w:val="00D731F4"/>
    <w:rsid w:val="00D8385D"/>
    <w:rsid w:val="00D857FC"/>
    <w:rsid w:val="00DA0A4E"/>
    <w:rsid w:val="00DA6C86"/>
    <w:rsid w:val="00DA7B60"/>
    <w:rsid w:val="00DB4B9A"/>
    <w:rsid w:val="00DC5628"/>
    <w:rsid w:val="00DD1CB9"/>
    <w:rsid w:val="00DD2135"/>
    <w:rsid w:val="00DD6E3C"/>
    <w:rsid w:val="00DE7388"/>
    <w:rsid w:val="00DF172F"/>
    <w:rsid w:val="00DF79DB"/>
    <w:rsid w:val="00E07C63"/>
    <w:rsid w:val="00E17020"/>
    <w:rsid w:val="00E170FC"/>
    <w:rsid w:val="00E21DD2"/>
    <w:rsid w:val="00E220CA"/>
    <w:rsid w:val="00E23321"/>
    <w:rsid w:val="00E2460C"/>
    <w:rsid w:val="00E34355"/>
    <w:rsid w:val="00E44611"/>
    <w:rsid w:val="00E77BBA"/>
    <w:rsid w:val="00E856E5"/>
    <w:rsid w:val="00E85F17"/>
    <w:rsid w:val="00E87E58"/>
    <w:rsid w:val="00E92C66"/>
    <w:rsid w:val="00EA3001"/>
    <w:rsid w:val="00EB4FE6"/>
    <w:rsid w:val="00EB5657"/>
    <w:rsid w:val="00EB5E2E"/>
    <w:rsid w:val="00EC2968"/>
    <w:rsid w:val="00EC5C0D"/>
    <w:rsid w:val="00EC683A"/>
    <w:rsid w:val="00F12493"/>
    <w:rsid w:val="00F1446C"/>
    <w:rsid w:val="00F24833"/>
    <w:rsid w:val="00F25A86"/>
    <w:rsid w:val="00F3130D"/>
    <w:rsid w:val="00F40270"/>
    <w:rsid w:val="00F43E98"/>
    <w:rsid w:val="00F471A6"/>
    <w:rsid w:val="00F557B1"/>
    <w:rsid w:val="00F5582E"/>
    <w:rsid w:val="00F6407F"/>
    <w:rsid w:val="00F67CD7"/>
    <w:rsid w:val="00F81296"/>
    <w:rsid w:val="00F83019"/>
    <w:rsid w:val="00F835C9"/>
    <w:rsid w:val="00F90976"/>
    <w:rsid w:val="00F91F43"/>
    <w:rsid w:val="00F92FC9"/>
    <w:rsid w:val="00FA5DC2"/>
    <w:rsid w:val="00FA7F0A"/>
    <w:rsid w:val="00FB51B0"/>
    <w:rsid w:val="00FC1F7C"/>
    <w:rsid w:val="00FD1CD6"/>
    <w:rsid w:val="00FD5194"/>
    <w:rsid w:val="00FE0072"/>
    <w:rsid w:val="00FF1C92"/>
    <w:rsid w:val="00FF416B"/>
    <w:rsid w:val="00FF7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66E82"/>
  <w15:chartTrackingRefBased/>
  <w15:docId w15:val="{75F73893-6DAC-4031-9E0F-AF662AEC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5F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71D07"/>
    <w:rPr>
      <w:rFonts w:ascii="Tahoma" w:hAnsi="Tahoma" w:cs="Tahoma"/>
      <w:sz w:val="16"/>
      <w:szCs w:val="16"/>
    </w:rPr>
  </w:style>
  <w:style w:type="character" w:customStyle="1" w:styleId="BalloonTextChar">
    <w:name w:val="Balloon Text Char"/>
    <w:link w:val="BalloonText"/>
    <w:rsid w:val="00A71D07"/>
    <w:rPr>
      <w:rFonts w:ascii="Tahoma" w:hAnsi="Tahoma" w:cs="Tahoma"/>
      <w:sz w:val="16"/>
      <w:szCs w:val="16"/>
    </w:rPr>
  </w:style>
  <w:style w:type="paragraph" w:styleId="ListParagraph">
    <w:name w:val="List Paragraph"/>
    <w:basedOn w:val="Normal"/>
    <w:uiPriority w:val="34"/>
    <w:qFormat/>
    <w:rsid w:val="000273EF"/>
    <w:pPr>
      <w:ind w:left="720"/>
      <w:contextualSpacing/>
    </w:pPr>
  </w:style>
  <w:style w:type="character" w:styleId="Hyperlink">
    <w:name w:val="Hyperlink"/>
    <w:basedOn w:val="DefaultParagraphFont"/>
    <w:unhideWhenUsed/>
    <w:rsid w:val="00033CA7"/>
    <w:rPr>
      <w:color w:val="0000FF"/>
      <w:u w:val="single"/>
    </w:rPr>
  </w:style>
  <w:style w:type="character" w:styleId="UnresolvedMention">
    <w:name w:val="Unresolved Mention"/>
    <w:basedOn w:val="DefaultParagraphFont"/>
    <w:uiPriority w:val="99"/>
    <w:semiHidden/>
    <w:unhideWhenUsed/>
    <w:rsid w:val="009169F1"/>
    <w:rPr>
      <w:color w:val="605E5C"/>
      <w:shd w:val="clear" w:color="auto" w:fill="E1DFDD"/>
    </w:rPr>
  </w:style>
  <w:style w:type="character" w:styleId="CommentReference">
    <w:name w:val="annotation reference"/>
    <w:basedOn w:val="DefaultParagraphFont"/>
    <w:rsid w:val="00193B17"/>
    <w:rPr>
      <w:sz w:val="16"/>
      <w:szCs w:val="16"/>
    </w:rPr>
  </w:style>
  <w:style w:type="paragraph" w:styleId="CommentText">
    <w:name w:val="annotation text"/>
    <w:basedOn w:val="Normal"/>
    <w:link w:val="CommentTextChar"/>
    <w:rsid w:val="00193B17"/>
    <w:rPr>
      <w:sz w:val="20"/>
      <w:szCs w:val="20"/>
    </w:rPr>
  </w:style>
  <w:style w:type="character" w:customStyle="1" w:styleId="CommentTextChar">
    <w:name w:val="Comment Text Char"/>
    <w:basedOn w:val="DefaultParagraphFont"/>
    <w:link w:val="CommentText"/>
    <w:rsid w:val="00193B17"/>
  </w:style>
  <w:style w:type="paragraph" w:styleId="CommentSubject">
    <w:name w:val="annotation subject"/>
    <w:basedOn w:val="CommentText"/>
    <w:next w:val="CommentText"/>
    <w:link w:val="CommentSubjectChar"/>
    <w:rsid w:val="00193B17"/>
    <w:rPr>
      <w:b/>
      <w:bCs/>
    </w:rPr>
  </w:style>
  <w:style w:type="character" w:customStyle="1" w:styleId="CommentSubjectChar">
    <w:name w:val="Comment Subject Char"/>
    <w:basedOn w:val="CommentTextChar"/>
    <w:link w:val="CommentSubject"/>
    <w:rsid w:val="00193B17"/>
    <w:rPr>
      <w:b/>
      <w:bCs/>
    </w:rPr>
  </w:style>
  <w:style w:type="paragraph" w:styleId="NormalWeb">
    <w:name w:val="Normal (Web)"/>
    <w:basedOn w:val="Normal"/>
    <w:uiPriority w:val="99"/>
    <w:unhideWhenUsed/>
    <w:rsid w:val="008458F9"/>
    <w:pPr>
      <w:spacing w:before="100" w:beforeAutospacing="1" w:after="100" w:afterAutospacing="1"/>
    </w:pPr>
  </w:style>
  <w:style w:type="character" w:styleId="Strong">
    <w:name w:val="Strong"/>
    <w:basedOn w:val="DefaultParagraphFont"/>
    <w:uiPriority w:val="22"/>
    <w:qFormat/>
    <w:rsid w:val="008458F9"/>
    <w:rPr>
      <w:b/>
      <w:bCs/>
    </w:rPr>
  </w:style>
  <w:style w:type="paragraph" w:styleId="PlainText">
    <w:name w:val="Plain Text"/>
    <w:basedOn w:val="Normal"/>
    <w:link w:val="PlainTextChar"/>
    <w:uiPriority w:val="99"/>
    <w:unhideWhenUsed/>
    <w:rsid w:val="0009136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91366"/>
    <w:rPr>
      <w:rFonts w:ascii="Calibri" w:eastAsiaTheme="minorHAnsi" w:hAnsi="Calibri" w:cstheme="minorBidi"/>
      <w:sz w:val="22"/>
      <w:szCs w:val="21"/>
    </w:rPr>
  </w:style>
  <w:style w:type="paragraph" w:styleId="NoSpacing">
    <w:name w:val="No Spacing"/>
    <w:basedOn w:val="Normal"/>
    <w:uiPriority w:val="1"/>
    <w:qFormat/>
    <w:rsid w:val="0096276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236">
      <w:bodyDiv w:val="1"/>
      <w:marLeft w:val="0"/>
      <w:marRight w:val="0"/>
      <w:marTop w:val="0"/>
      <w:marBottom w:val="0"/>
      <w:divBdr>
        <w:top w:val="none" w:sz="0" w:space="0" w:color="auto"/>
        <w:left w:val="none" w:sz="0" w:space="0" w:color="auto"/>
        <w:bottom w:val="none" w:sz="0" w:space="0" w:color="auto"/>
        <w:right w:val="none" w:sz="0" w:space="0" w:color="auto"/>
      </w:divBdr>
    </w:div>
    <w:div w:id="253560702">
      <w:bodyDiv w:val="1"/>
      <w:marLeft w:val="0"/>
      <w:marRight w:val="0"/>
      <w:marTop w:val="0"/>
      <w:marBottom w:val="0"/>
      <w:divBdr>
        <w:top w:val="none" w:sz="0" w:space="0" w:color="auto"/>
        <w:left w:val="none" w:sz="0" w:space="0" w:color="auto"/>
        <w:bottom w:val="none" w:sz="0" w:space="0" w:color="auto"/>
        <w:right w:val="none" w:sz="0" w:space="0" w:color="auto"/>
      </w:divBdr>
    </w:div>
    <w:div w:id="372047877">
      <w:bodyDiv w:val="1"/>
      <w:marLeft w:val="0"/>
      <w:marRight w:val="0"/>
      <w:marTop w:val="0"/>
      <w:marBottom w:val="0"/>
      <w:divBdr>
        <w:top w:val="none" w:sz="0" w:space="0" w:color="auto"/>
        <w:left w:val="none" w:sz="0" w:space="0" w:color="auto"/>
        <w:bottom w:val="none" w:sz="0" w:space="0" w:color="auto"/>
        <w:right w:val="none" w:sz="0" w:space="0" w:color="auto"/>
      </w:divBdr>
    </w:div>
    <w:div w:id="527255935">
      <w:bodyDiv w:val="1"/>
      <w:marLeft w:val="0"/>
      <w:marRight w:val="0"/>
      <w:marTop w:val="0"/>
      <w:marBottom w:val="0"/>
      <w:divBdr>
        <w:top w:val="none" w:sz="0" w:space="0" w:color="auto"/>
        <w:left w:val="none" w:sz="0" w:space="0" w:color="auto"/>
        <w:bottom w:val="none" w:sz="0" w:space="0" w:color="auto"/>
        <w:right w:val="none" w:sz="0" w:space="0" w:color="auto"/>
      </w:divBdr>
    </w:div>
    <w:div w:id="563489240">
      <w:bodyDiv w:val="1"/>
      <w:marLeft w:val="0"/>
      <w:marRight w:val="0"/>
      <w:marTop w:val="0"/>
      <w:marBottom w:val="0"/>
      <w:divBdr>
        <w:top w:val="none" w:sz="0" w:space="0" w:color="auto"/>
        <w:left w:val="none" w:sz="0" w:space="0" w:color="auto"/>
        <w:bottom w:val="none" w:sz="0" w:space="0" w:color="auto"/>
        <w:right w:val="none" w:sz="0" w:space="0" w:color="auto"/>
      </w:divBdr>
    </w:div>
    <w:div w:id="576091468">
      <w:bodyDiv w:val="1"/>
      <w:marLeft w:val="0"/>
      <w:marRight w:val="0"/>
      <w:marTop w:val="0"/>
      <w:marBottom w:val="0"/>
      <w:divBdr>
        <w:top w:val="none" w:sz="0" w:space="0" w:color="auto"/>
        <w:left w:val="none" w:sz="0" w:space="0" w:color="auto"/>
        <w:bottom w:val="none" w:sz="0" w:space="0" w:color="auto"/>
        <w:right w:val="none" w:sz="0" w:space="0" w:color="auto"/>
      </w:divBdr>
    </w:div>
    <w:div w:id="611790029">
      <w:bodyDiv w:val="1"/>
      <w:marLeft w:val="0"/>
      <w:marRight w:val="0"/>
      <w:marTop w:val="0"/>
      <w:marBottom w:val="0"/>
      <w:divBdr>
        <w:top w:val="none" w:sz="0" w:space="0" w:color="auto"/>
        <w:left w:val="none" w:sz="0" w:space="0" w:color="auto"/>
        <w:bottom w:val="none" w:sz="0" w:space="0" w:color="auto"/>
        <w:right w:val="none" w:sz="0" w:space="0" w:color="auto"/>
      </w:divBdr>
    </w:div>
    <w:div w:id="700475618">
      <w:bodyDiv w:val="1"/>
      <w:marLeft w:val="0"/>
      <w:marRight w:val="0"/>
      <w:marTop w:val="0"/>
      <w:marBottom w:val="0"/>
      <w:divBdr>
        <w:top w:val="none" w:sz="0" w:space="0" w:color="auto"/>
        <w:left w:val="none" w:sz="0" w:space="0" w:color="auto"/>
        <w:bottom w:val="none" w:sz="0" w:space="0" w:color="auto"/>
        <w:right w:val="none" w:sz="0" w:space="0" w:color="auto"/>
      </w:divBdr>
      <w:divsChild>
        <w:div w:id="1082601243">
          <w:marLeft w:val="0"/>
          <w:marRight w:val="0"/>
          <w:marTop w:val="0"/>
          <w:marBottom w:val="150"/>
          <w:divBdr>
            <w:top w:val="none" w:sz="0" w:space="0" w:color="auto"/>
            <w:left w:val="none" w:sz="0" w:space="0" w:color="auto"/>
            <w:bottom w:val="none" w:sz="0" w:space="0" w:color="auto"/>
            <w:right w:val="none" w:sz="0" w:space="0" w:color="auto"/>
          </w:divBdr>
        </w:div>
        <w:div w:id="1555311038">
          <w:marLeft w:val="0"/>
          <w:marRight w:val="0"/>
          <w:marTop w:val="135"/>
          <w:marBottom w:val="0"/>
          <w:divBdr>
            <w:top w:val="none" w:sz="0" w:space="0" w:color="auto"/>
            <w:left w:val="none" w:sz="0" w:space="0" w:color="auto"/>
            <w:bottom w:val="none" w:sz="0" w:space="0" w:color="auto"/>
            <w:right w:val="none" w:sz="0" w:space="0" w:color="auto"/>
          </w:divBdr>
        </w:div>
      </w:divsChild>
    </w:div>
    <w:div w:id="809904250">
      <w:bodyDiv w:val="1"/>
      <w:marLeft w:val="0"/>
      <w:marRight w:val="0"/>
      <w:marTop w:val="0"/>
      <w:marBottom w:val="0"/>
      <w:divBdr>
        <w:top w:val="none" w:sz="0" w:space="0" w:color="auto"/>
        <w:left w:val="none" w:sz="0" w:space="0" w:color="auto"/>
        <w:bottom w:val="none" w:sz="0" w:space="0" w:color="auto"/>
        <w:right w:val="none" w:sz="0" w:space="0" w:color="auto"/>
      </w:divBdr>
    </w:div>
    <w:div w:id="860359285">
      <w:bodyDiv w:val="1"/>
      <w:marLeft w:val="0"/>
      <w:marRight w:val="0"/>
      <w:marTop w:val="0"/>
      <w:marBottom w:val="0"/>
      <w:divBdr>
        <w:top w:val="none" w:sz="0" w:space="0" w:color="auto"/>
        <w:left w:val="none" w:sz="0" w:space="0" w:color="auto"/>
        <w:bottom w:val="none" w:sz="0" w:space="0" w:color="auto"/>
        <w:right w:val="none" w:sz="0" w:space="0" w:color="auto"/>
      </w:divBdr>
    </w:div>
    <w:div w:id="948707383">
      <w:bodyDiv w:val="1"/>
      <w:marLeft w:val="0"/>
      <w:marRight w:val="0"/>
      <w:marTop w:val="0"/>
      <w:marBottom w:val="0"/>
      <w:divBdr>
        <w:top w:val="none" w:sz="0" w:space="0" w:color="auto"/>
        <w:left w:val="none" w:sz="0" w:space="0" w:color="auto"/>
        <w:bottom w:val="none" w:sz="0" w:space="0" w:color="auto"/>
        <w:right w:val="none" w:sz="0" w:space="0" w:color="auto"/>
      </w:divBdr>
    </w:div>
    <w:div w:id="962885802">
      <w:bodyDiv w:val="1"/>
      <w:marLeft w:val="0"/>
      <w:marRight w:val="0"/>
      <w:marTop w:val="0"/>
      <w:marBottom w:val="0"/>
      <w:divBdr>
        <w:top w:val="none" w:sz="0" w:space="0" w:color="auto"/>
        <w:left w:val="none" w:sz="0" w:space="0" w:color="auto"/>
        <w:bottom w:val="none" w:sz="0" w:space="0" w:color="auto"/>
        <w:right w:val="none" w:sz="0" w:space="0" w:color="auto"/>
      </w:divBdr>
    </w:div>
    <w:div w:id="1025669432">
      <w:bodyDiv w:val="1"/>
      <w:marLeft w:val="0"/>
      <w:marRight w:val="0"/>
      <w:marTop w:val="0"/>
      <w:marBottom w:val="0"/>
      <w:divBdr>
        <w:top w:val="none" w:sz="0" w:space="0" w:color="auto"/>
        <w:left w:val="none" w:sz="0" w:space="0" w:color="auto"/>
        <w:bottom w:val="none" w:sz="0" w:space="0" w:color="auto"/>
        <w:right w:val="none" w:sz="0" w:space="0" w:color="auto"/>
      </w:divBdr>
    </w:div>
    <w:div w:id="1267925962">
      <w:bodyDiv w:val="1"/>
      <w:marLeft w:val="0"/>
      <w:marRight w:val="0"/>
      <w:marTop w:val="0"/>
      <w:marBottom w:val="0"/>
      <w:divBdr>
        <w:top w:val="none" w:sz="0" w:space="0" w:color="auto"/>
        <w:left w:val="none" w:sz="0" w:space="0" w:color="auto"/>
        <w:bottom w:val="none" w:sz="0" w:space="0" w:color="auto"/>
        <w:right w:val="none" w:sz="0" w:space="0" w:color="auto"/>
      </w:divBdr>
    </w:div>
    <w:div w:id="1279491504">
      <w:bodyDiv w:val="1"/>
      <w:marLeft w:val="0"/>
      <w:marRight w:val="0"/>
      <w:marTop w:val="0"/>
      <w:marBottom w:val="0"/>
      <w:divBdr>
        <w:top w:val="none" w:sz="0" w:space="0" w:color="auto"/>
        <w:left w:val="none" w:sz="0" w:space="0" w:color="auto"/>
        <w:bottom w:val="none" w:sz="0" w:space="0" w:color="auto"/>
        <w:right w:val="none" w:sz="0" w:space="0" w:color="auto"/>
      </w:divBdr>
    </w:div>
    <w:div w:id="1403454861">
      <w:bodyDiv w:val="1"/>
      <w:marLeft w:val="0"/>
      <w:marRight w:val="0"/>
      <w:marTop w:val="0"/>
      <w:marBottom w:val="0"/>
      <w:divBdr>
        <w:top w:val="none" w:sz="0" w:space="0" w:color="auto"/>
        <w:left w:val="none" w:sz="0" w:space="0" w:color="auto"/>
        <w:bottom w:val="none" w:sz="0" w:space="0" w:color="auto"/>
        <w:right w:val="none" w:sz="0" w:space="0" w:color="auto"/>
      </w:divBdr>
      <w:divsChild>
        <w:div w:id="498083169">
          <w:marLeft w:val="0"/>
          <w:marRight w:val="0"/>
          <w:marTop w:val="0"/>
          <w:marBottom w:val="0"/>
          <w:divBdr>
            <w:top w:val="none" w:sz="0" w:space="0" w:color="auto"/>
            <w:left w:val="none" w:sz="0" w:space="0" w:color="auto"/>
            <w:bottom w:val="none" w:sz="0" w:space="0" w:color="auto"/>
            <w:right w:val="none" w:sz="0" w:space="0" w:color="auto"/>
          </w:divBdr>
          <w:divsChild>
            <w:div w:id="24988881">
              <w:marLeft w:val="0"/>
              <w:marRight w:val="0"/>
              <w:marTop w:val="0"/>
              <w:marBottom w:val="0"/>
              <w:divBdr>
                <w:top w:val="none" w:sz="0" w:space="0" w:color="auto"/>
                <w:left w:val="none" w:sz="0" w:space="0" w:color="auto"/>
                <w:bottom w:val="none" w:sz="0" w:space="0" w:color="auto"/>
                <w:right w:val="none" w:sz="0" w:space="0" w:color="auto"/>
              </w:divBdr>
              <w:divsChild>
                <w:div w:id="1556504459">
                  <w:marLeft w:val="0"/>
                  <w:marRight w:val="0"/>
                  <w:marTop w:val="0"/>
                  <w:marBottom w:val="0"/>
                  <w:divBdr>
                    <w:top w:val="none" w:sz="0" w:space="0" w:color="auto"/>
                    <w:left w:val="none" w:sz="0" w:space="0" w:color="auto"/>
                    <w:bottom w:val="none" w:sz="0" w:space="0" w:color="auto"/>
                    <w:right w:val="none" w:sz="0" w:space="0" w:color="auto"/>
                  </w:divBdr>
                  <w:divsChild>
                    <w:div w:id="147983507">
                      <w:marLeft w:val="0"/>
                      <w:marRight w:val="0"/>
                      <w:marTop w:val="0"/>
                      <w:marBottom w:val="0"/>
                      <w:divBdr>
                        <w:top w:val="none" w:sz="0" w:space="0" w:color="auto"/>
                        <w:left w:val="none" w:sz="0" w:space="0" w:color="auto"/>
                        <w:bottom w:val="none" w:sz="0" w:space="0" w:color="auto"/>
                        <w:right w:val="none" w:sz="0" w:space="0" w:color="auto"/>
                      </w:divBdr>
                      <w:divsChild>
                        <w:div w:id="1968047605">
                          <w:marLeft w:val="0"/>
                          <w:marRight w:val="0"/>
                          <w:marTop w:val="0"/>
                          <w:marBottom w:val="0"/>
                          <w:divBdr>
                            <w:top w:val="none" w:sz="0" w:space="0" w:color="auto"/>
                            <w:left w:val="none" w:sz="0" w:space="0" w:color="auto"/>
                            <w:bottom w:val="none" w:sz="0" w:space="0" w:color="auto"/>
                            <w:right w:val="none" w:sz="0" w:space="0" w:color="auto"/>
                          </w:divBdr>
                          <w:divsChild>
                            <w:div w:id="1014577970">
                              <w:marLeft w:val="0"/>
                              <w:marRight w:val="0"/>
                              <w:marTop w:val="0"/>
                              <w:marBottom w:val="0"/>
                              <w:divBdr>
                                <w:top w:val="none" w:sz="0" w:space="0" w:color="auto"/>
                                <w:left w:val="none" w:sz="0" w:space="0" w:color="auto"/>
                                <w:bottom w:val="none" w:sz="0" w:space="0" w:color="auto"/>
                                <w:right w:val="none" w:sz="0" w:space="0" w:color="auto"/>
                              </w:divBdr>
                              <w:divsChild>
                                <w:div w:id="994337477">
                                  <w:marLeft w:val="0"/>
                                  <w:marRight w:val="0"/>
                                  <w:marTop w:val="0"/>
                                  <w:marBottom w:val="0"/>
                                  <w:divBdr>
                                    <w:top w:val="none" w:sz="0" w:space="0" w:color="auto"/>
                                    <w:left w:val="none" w:sz="0" w:space="0" w:color="auto"/>
                                    <w:bottom w:val="none" w:sz="0" w:space="0" w:color="auto"/>
                                    <w:right w:val="none" w:sz="0" w:space="0" w:color="auto"/>
                                  </w:divBdr>
                                  <w:divsChild>
                                    <w:div w:id="7768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086008">
          <w:marLeft w:val="0"/>
          <w:marRight w:val="0"/>
          <w:marTop w:val="0"/>
          <w:marBottom w:val="0"/>
          <w:divBdr>
            <w:top w:val="none" w:sz="0" w:space="0" w:color="auto"/>
            <w:left w:val="none" w:sz="0" w:space="0" w:color="auto"/>
            <w:bottom w:val="none" w:sz="0" w:space="0" w:color="auto"/>
            <w:right w:val="none" w:sz="0" w:space="0" w:color="auto"/>
          </w:divBdr>
          <w:divsChild>
            <w:div w:id="1636135464">
              <w:marLeft w:val="0"/>
              <w:marRight w:val="0"/>
              <w:marTop w:val="0"/>
              <w:marBottom w:val="0"/>
              <w:divBdr>
                <w:top w:val="none" w:sz="0" w:space="0" w:color="auto"/>
                <w:left w:val="none" w:sz="0" w:space="0" w:color="auto"/>
                <w:bottom w:val="none" w:sz="0" w:space="0" w:color="auto"/>
                <w:right w:val="none" w:sz="0" w:space="0" w:color="auto"/>
              </w:divBdr>
              <w:divsChild>
                <w:div w:id="1041787687">
                  <w:marLeft w:val="0"/>
                  <w:marRight w:val="0"/>
                  <w:marTop w:val="0"/>
                  <w:marBottom w:val="0"/>
                  <w:divBdr>
                    <w:top w:val="none" w:sz="0" w:space="0" w:color="auto"/>
                    <w:left w:val="none" w:sz="0" w:space="0" w:color="auto"/>
                    <w:bottom w:val="none" w:sz="0" w:space="0" w:color="auto"/>
                    <w:right w:val="none" w:sz="0" w:space="0" w:color="auto"/>
                  </w:divBdr>
                  <w:divsChild>
                    <w:div w:id="414673529">
                      <w:marLeft w:val="0"/>
                      <w:marRight w:val="0"/>
                      <w:marTop w:val="0"/>
                      <w:marBottom w:val="0"/>
                      <w:divBdr>
                        <w:top w:val="none" w:sz="0" w:space="0" w:color="auto"/>
                        <w:left w:val="none" w:sz="0" w:space="0" w:color="auto"/>
                        <w:bottom w:val="none" w:sz="0" w:space="0" w:color="auto"/>
                        <w:right w:val="none" w:sz="0" w:space="0" w:color="auto"/>
                      </w:divBdr>
                      <w:divsChild>
                        <w:div w:id="1501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37514">
      <w:bodyDiv w:val="1"/>
      <w:marLeft w:val="0"/>
      <w:marRight w:val="0"/>
      <w:marTop w:val="0"/>
      <w:marBottom w:val="0"/>
      <w:divBdr>
        <w:top w:val="none" w:sz="0" w:space="0" w:color="auto"/>
        <w:left w:val="none" w:sz="0" w:space="0" w:color="auto"/>
        <w:bottom w:val="none" w:sz="0" w:space="0" w:color="auto"/>
        <w:right w:val="none" w:sz="0" w:space="0" w:color="auto"/>
      </w:divBdr>
    </w:div>
    <w:div w:id="1477451992">
      <w:bodyDiv w:val="1"/>
      <w:marLeft w:val="0"/>
      <w:marRight w:val="0"/>
      <w:marTop w:val="0"/>
      <w:marBottom w:val="0"/>
      <w:divBdr>
        <w:top w:val="none" w:sz="0" w:space="0" w:color="auto"/>
        <w:left w:val="none" w:sz="0" w:space="0" w:color="auto"/>
        <w:bottom w:val="none" w:sz="0" w:space="0" w:color="auto"/>
        <w:right w:val="none" w:sz="0" w:space="0" w:color="auto"/>
      </w:divBdr>
    </w:div>
    <w:div w:id="1554999389">
      <w:bodyDiv w:val="1"/>
      <w:marLeft w:val="0"/>
      <w:marRight w:val="0"/>
      <w:marTop w:val="0"/>
      <w:marBottom w:val="0"/>
      <w:divBdr>
        <w:top w:val="none" w:sz="0" w:space="0" w:color="auto"/>
        <w:left w:val="none" w:sz="0" w:space="0" w:color="auto"/>
        <w:bottom w:val="none" w:sz="0" w:space="0" w:color="auto"/>
        <w:right w:val="none" w:sz="0" w:space="0" w:color="auto"/>
      </w:divBdr>
    </w:div>
    <w:div w:id="1687363012">
      <w:bodyDiv w:val="1"/>
      <w:marLeft w:val="0"/>
      <w:marRight w:val="0"/>
      <w:marTop w:val="0"/>
      <w:marBottom w:val="0"/>
      <w:divBdr>
        <w:top w:val="none" w:sz="0" w:space="0" w:color="auto"/>
        <w:left w:val="none" w:sz="0" w:space="0" w:color="auto"/>
        <w:bottom w:val="none" w:sz="0" w:space="0" w:color="auto"/>
        <w:right w:val="none" w:sz="0" w:space="0" w:color="auto"/>
      </w:divBdr>
    </w:div>
    <w:div w:id="1902447082">
      <w:bodyDiv w:val="1"/>
      <w:marLeft w:val="0"/>
      <w:marRight w:val="0"/>
      <w:marTop w:val="0"/>
      <w:marBottom w:val="0"/>
      <w:divBdr>
        <w:top w:val="none" w:sz="0" w:space="0" w:color="auto"/>
        <w:left w:val="none" w:sz="0" w:space="0" w:color="auto"/>
        <w:bottom w:val="none" w:sz="0" w:space="0" w:color="auto"/>
        <w:right w:val="none" w:sz="0" w:space="0" w:color="auto"/>
      </w:divBdr>
    </w:div>
    <w:div w:id="2014649993">
      <w:bodyDiv w:val="1"/>
      <w:marLeft w:val="0"/>
      <w:marRight w:val="0"/>
      <w:marTop w:val="0"/>
      <w:marBottom w:val="0"/>
      <w:divBdr>
        <w:top w:val="none" w:sz="0" w:space="0" w:color="auto"/>
        <w:left w:val="none" w:sz="0" w:space="0" w:color="auto"/>
        <w:bottom w:val="none" w:sz="0" w:space="0" w:color="auto"/>
        <w:right w:val="none" w:sz="0" w:space="0" w:color="auto"/>
      </w:divBdr>
    </w:div>
    <w:div w:id="2053654808">
      <w:bodyDiv w:val="1"/>
      <w:marLeft w:val="0"/>
      <w:marRight w:val="0"/>
      <w:marTop w:val="0"/>
      <w:marBottom w:val="0"/>
      <w:divBdr>
        <w:top w:val="none" w:sz="0" w:space="0" w:color="auto"/>
        <w:left w:val="none" w:sz="0" w:space="0" w:color="auto"/>
        <w:bottom w:val="none" w:sz="0" w:space="0" w:color="auto"/>
        <w:right w:val="none" w:sz="0" w:space="0" w:color="auto"/>
      </w:divBdr>
    </w:div>
    <w:div w:id="210136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meua.org"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rggi.us1.list-manage.com/track/click?u=30b3d3096a24600c6bfadf37a&amp;id=7e24eeabf6&amp;e=878cf81b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nyserda.ny.gov/About/Newsroom/2022-Announcements/2022-03-09-New-York-State-Releases-Draft-Disadvantaged-Communities-Criter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rldefense.com/v3/__http:/click.nyserda.ny.gov/?qs=c70cc5006c8bd9ee0fa192ad7b9c64faf19d7ad5eeee0e962229248bbad158bc0243f07b993be2b05bdcc2a46731373f95da786993140769__;!!OMcDCRJQ-13FdDweypbyeNyZ!ydzeuaUEU2HZRounsiaKpD1UUPjatcA52X4kfqhTTLgH9idEoVTVq9nRhtjom4Wh92cEKRybhDnvfgGlNolUJfeyNXe4XQ$" TargetMode="External"/><Relationship Id="rId4" Type="http://schemas.openxmlformats.org/officeDocument/2006/relationships/settings" Target="settings.xml"/><Relationship Id="rId9" Type="http://schemas.openxmlformats.org/officeDocument/2006/relationships/hyperlink" Target="https://urldefense.com/v3/__http:/click.nyserda.ny.gov/?qs=c70cc5006c8bd9ee74d7c629a08083336a8bd0c27b424c942333074b021db2460d8d82644bbd87d6bac649feed7c2ac15b1cf8ff2d2e9a76__;!!OMcDCRJQ-13FdDweypbyeNyZ!ydzeuaUEU2HZRounsiaKpD1UUPjatcA52X4kfqhTTLgH9idEoVTVq9nRhtjom4Wh92cEKRybhDnvfgGlNolUJfcrpNtKz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UA\AppData\Roaming\Microsoft\Templates\Nn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A3869-D9C0-477D-A935-85825E8C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NnV</Template>
  <TotalTime>8</TotalTime>
  <Pages>1</Pages>
  <Words>2790</Words>
  <Characters>15905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MEUA</dc:creator>
  <cp:keywords/>
  <dc:description/>
  <cp:lastModifiedBy>Narin Kowalski</cp:lastModifiedBy>
  <cp:revision>4</cp:revision>
  <cp:lastPrinted>2022-04-18T18:44:00Z</cp:lastPrinted>
  <dcterms:created xsi:type="dcterms:W3CDTF">2022-04-18T18:38:00Z</dcterms:created>
  <dcterms:modified xsi:type="dcterms:W3CDTF">2022-04-18T19:02:00Z</dcterms:modified>
</cp:coreProperties>
</file>